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AF3F" w14:textId="610EB719" w:rsidR="00A43B64" w:rsidRPr="00827681" w:rsidRDefault="00A43B64" w:rsidP="003960F8">
      <w:pPr>
        <w:spacing w:line="240" w:lineRule="exact"/>
        <w:jc w:val="center"/>
        <w:textAlignment w:val="baseline"/>
        <w:rPr>
          <w:rFonts w:eastAsia="Garamond"/>
          <w:b/>
          <w:smallCaps/>
          <w:color w:val="000000"/>
          <w:sz w:val="32"/>
          <w:szCs w:val="32"/>
        </w:rPr>
      </w:pPr>
      <w:r w:rsidRPr="00827681">
        <w:rPr>
          <w:rFonts w:eastAsia="Garamond"/>
          <w:b/>
          <w:smallCaps/>
          <w:color w:val="000000"/>
          <w:sz w:val="32"/>
          <w:szCs w:val="32"/>
        </w:rPr>
        <w:t>Holly Pekowsky</w:t>
      </w:r>
    </w:p>
    <w:p w14:paraId="25604798" w14:textId="77777777" w:rsidR="003960F8" w:rsidRPr="000664B9" w:rsidRDefault="003960F8" w:rsidP="00573B4D">
      <w:pPr>
        <w:spacing w:line="240" w:lineRule="exact"/>
        <w:jc w:val="center"/>
        <w:textAlignment w:val="baseline"/>
        <w:rPr>
          <w:rFonts w:eastAsia="Garamond"/>
          <w:b/>
          <w:smallCaps/>
          <w:color w:val="000000"/>
          <w:sz w:val="24"/>
          <w:szCs w:val="24"/>
        </w:rPr>
      </w:pPr>
    </w:p>
    <w:p w14:paraId="4A77D506" w14:textId="3823E3D8" w:rsidR="00A3705D" w:rsidRPr="000664B9" w:rsidRDefault="006E1D6A" w:rsidP="0029650C">
      <w:pPr>
        <w:tabs>
          <w:tab w:val="right" w:pos="10170"/>
        </w:tabs>
        <w:spacing w:after="120" w:line="240" w:lineRule="exact"/>
        <w:textAlignment w:val="baseline"/>
        <w:rPr>
          <w:rFonts w:eastAsia="Garamond"/>
          <w:b/>
          <w:bCs/>
          <w:i/>
          <w:iCs/>
          <w:sz w:val="24"/>
          <w:szCs w:val="24"/>
        </w:rPr>
      </w:pPr>
      <w:r w:rsidRPr="000664B9">
        <w:rPr>
          <w:rFonts w:eastAsia="Garamond"/>
          <w:b/>
          <w:bCs/>
          <w:color w:val="000000"/>
          <w:sz w:val="24"/>
          <w:szCs w:val="24"/>
        </w:rPr>
        <w:t>New York</w:t>
      </w:r>
      <w:r w:rsidR="002947B1" w:rsidRPr="000664B9">
        <w:rPr>
          <w:rFonts w:eastAsia="Garamond"/>
          <w:b/>
          <w:bCs/>
          <w:color w:val="000000"/>
          <w:sz w:val="24"/>
          <w:szCs w:val="24"/>
        </w:rPr>
        <w:t>, NY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tab/>
      </w:r>
      <w:r w:rsidR="0029650C" w:rsidRPr="000664B9">
        <w:rPr>
          <w:rFonts w:eastAsia="Garamond"/>
          <w:b/>
          <w:bCs/>
          <w:i/>
          <w:iCs/>
          <w:sz w:val="24"/>
          <w:szCs w:val="24"/>
        </w:rPr>
        <w:t>hollypekowsky1@gmail.com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br/>
        <w:t>Cell</w:t>
      </w:r>
      <w:r w:rsidR="006201C9" w:rsidRPr="000664B9">
        <w:rPr>
          <w:rFonts w:eastAsia="Garamond"/>
          <w:b/>
          <w:bCs/>
          <w:color w:val="000000"/>
          <w:sz w:val="24"/>
          <w:szCs w:val="24"/>
        </w:rPr>
        <w:t xml:space="preserve">:  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t xml:space="preserve"> </w:t>
      </w:r>
      <w:r w:rsidR="002947B1" w:rsidRPr="000664B9">
        <w:rPr>
          <w:rFonts w:eastAsia="Garamond"/>
          <w:b/>
          <w:bCs/>
          <w:color w:val="000000"/>
          <w:sz w:val="24"/>
          <w:szCs w:val="24"/>
        </w:rPr>
        <w:t>917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t>.</w:t>
      </w:r>
      <w:r w:rsidRPr="000664B9">
        <w:rPr>
          <w:rFonts w:eastAsia="Garamond"/>
          <w:b/>
          <w:bCs/>
          <w:color w:val="000000"/>
          <w:sz w:val="24"/>
          <w:szCs w:val="24"/>
        </w:rPr>
        <w:t>680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t>.</w:t>
      </w:r>
      <w:r w:rsidRPr="000664B9">
        <w:rPr>
          <w:rFonts w:eastAsia="Garamond"/>
          <w:b/>
          <w:bCs/>
          <w:color w:val="000000"/>
          <w:sz w:val="24"/>
          <w:szCs w:val="24"/>
        </w:rPr>
        <w:t>1566</w:t>
      </w:r>
      <w:r w:rsidR="002947B1" w:rsidRPr="000664B9">
        <w:rPr>
          <w:rFonts w:eastAsia="Garamond"/>
          <w:b/>
          <w:bCs/>
          <w:color w:val="000000"/>
          <w:sz w:val="24"/>
          <w:szCs w:val="24"/>
        </w:rPr>
        <w:t xml:space="preserve"> </w:t>
      </w:r>
      <w:r w:rsidR="0029650C" w:rsidRPr="000664B9">
        <w:rPr>
          <w:rFonts w:eastAsia="Garamond"/>
          <w:b/>
          <w:bCs/>
          <w:color w:val="000000"/>
          <w:sz w:val="24"/>
          <w:szCs w:val="24"/>
        </w:rPr>
        <w:tab/>
      </w:r>
      <w:r w:rsidR="00CE519C" w:rsidRPr="000664B9">
        <w:rPr>
          <w:rFonts w:eastAsia="Garamond"/>
          <w:b/>
          <w:bCs/>
          <w:i/>
          <w:iCs/>
          <w:sz w:val="24"/>
          <w:szCs w:val="24"/>
        </w:rPr>
        <w:t>www.linkedin.com/in/holly-pekowsky</w:t>
      </w:r>
    </w:p>
    <w:p w14:paraId="0A7A729A" w14:textId="75A8E5C1" w:rsidR="0061746B" w:rsidRPr="000664B9" w:rsidRDefault="0061746B" w:rsidP="0029650C">
      <w:pPr>
        <w:tabs>
          <w:tab w:val="right" w:pos="10170"/>
        </w:tabs>
        <w:spacing w:after="120" w:line="240" w:lineRule="exact"/>
        <w:textAlignment w:val="baseline"/>
        <w:rPr>
          <w:rFonts w:eastAsia="Garamond"/>
          <w:sz w:val="24"/>
          <w:szCs w:val="24"/>
        </w:rPr>
      </w:pPr>
      <w:r w:rsidRPr="000664B9">
        <w:rPr>
          <w:rFonts w:eastAsia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325C8" wp14:editId="597E803B">
                <wp:simplePos x="0" y="0"/>
                <wp:positionH relativeFrom="column">
                  <wp:posOffset>126</wp:posOffset>
                </wp:positionH>
                <wp:positionV relativeFrom="paragraph">
                  <wp:posOffset>64008</wp:posOffset>
                </wp:positionV>
                <wp:extent cx="6539789" cy="0"/>
                <wp:effectExtent l="0" t="0" r="0" b="0"/>
                <wp:wrapNone/>
                <wp:docPr id="6918573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78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3A94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514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" strokecolor="black [3213]" strokeweight="2pt">
                <v:stroke joinstyle="miter"/>
              </v:line>
            </w:pict>
          </mc:Fallback>
        </mc:AlternateContent>
      </w:r>
    </w:p>
    <w:p w14:paraId="4A77D507" w14:textId="05F3D8A7" w:rsidR="00A3705D" w:rsidRPr="000664B9" w:rsidRDefault="00CE519C" w:rsidP="00A646AE">
      <w:pPr>
        <w:spacing w:after="120" w:line="240" w:lineRule="exact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0664B9">
        <w:rPr>
          <w:rFonts w:eastAsia="Garamond"/>
          <w:color w:val="000000"/>
          <w:sz w:val="24"/>
          <w:szCs w:val="24"/>
        </w:rPr>
        <w:t xml:space="preserve">Partner </w:t>
      </w:r>
      <w:r w:rsidR="002947B1" w:rsidRPr="000664B9">
        <w:rPr>
          <w:rFonts w:eastAsia="Garamond"/>
          <w:color w:val="000000"/>
          <w:sz w:val="24"/>
          <w:szCs w:val="24"/>
        </w:rPr>
        <w:t xml:space="preserve">with </w:t>
      </w:r>
      <w:r w:rsidR="006E1D6A" w:rsidRPr="000664B9">
        <w:rPr>
          <w:rFonts w:eastAsia="Garamond"/>
          <w:color w:val="000000"/>
          <w:sz w:val="24"/>
          <w:szCs w:val="24"/>
        </w:rPr>
        <w:t>2</w:t>
      </w:r>
      <w:r w:rsidR="002947B1" w:rsidRPr="000664B9">
        <w:rPr>
          <w:rFonts w:eastAsia="Garamond"/>
          <w:color w:val="000000"/>
          <w:sz w:val="24"/>
          <w:szCs w:val="24"/>
        </w:rPr>
        <w:t xml:space="preserve">0+ years of diverse experience in strategic counseling, enforcement, </w:t>
      </w:r>
      <w:r w:rsidR="00DC3CC4" w:rsidRPr="000664B9">
        <w:rPr>
          <w:rFonts w:eastAsia="Garamond"/>
          <w:color w:val="000000"/>
          <w:sz w:val="24"/>
          <w:szCs w:val="24"/>
        </w:rPr>
        <w:t>prosecution</w:t>
      </w:r>
      <w:r w:rsidR="00D83631" w:rsidRPr="000664B9">
        <w:rPr>
          <w:rFonts w:eastAsia="Garamond"/>
          <w:color w:val="000000"/>
          <w:sz w:val="24"/>
          <w:szCs w:val="24"/>
        </w:rPr>
        <w:t>,</w:t>
      </w:r>
      <w:r w:rsidR="002947B1" w:rsidRPr="000664B9">
        <w:rPr>
          <w:rFonts w:eastAsia="Garamond"/>
          <w:color w:val="000000"/>
          <w:sz w:val="24"/>
          <w:szCs w:val="24"/>
        </w:rPr>
        <w:t xml:space="preserve"> </w:t>
      </w:r>
      <w:r w:rsidR="006E1D6A" w:rsidRPr="000664B9">
        <w:rPr>
          <w:rFonts w:eastAsia="Garamond"/>
          <w:color w:val="000000"/>
          <w:sz w:val="24"/>
          <w:szCs w:val="24"/>
        </w:rPr>
        <w:t xml:space="preserve">and litigation </w:t>
      </w:r>
      <w:r w:rsidR="002947B1" w:rsidRPr="000664B9">
        <w:rPr>
          <w:rFonts w:eastAsia="Garamond"/>
          <w:color w:val="000000"/>
          <w:sz w:val="24"/>
          <w:szCs w:val="24"/>
        </w:rPr>
        <w:t xml:space="preserve">involving trademark, </w:t>
      </w:r>
      <w:r w:rsidR="006E1D6A" w:rsidRPr="000664B9">
        <w:rPr>
          <w:rFonts w:eastAsia="Garamond"/>
          <w:color w:val="000000"/>
          <w:sz w:val="24"/>
          <w:szCs w:val="24"/>
        </w:rPr>
        <w:t xml:space="preserve">trade dress, </w:t>
      </w:r>
      <w:r w:rsidR="00D91990">
        <w:rPr>
          <w:rFonts w:eastAsia="Garamond"/>
          <w:color w:val="000000"/>
          <w:sz w:val="24"/>
          <w:szCs w:val="24"/>
        </w:rPr>
        <w:t xml:space="preserve">design patent, </w:t>
      </w:r>
      <w:r w:rsidR="006E1D6A" w:rsidRPr="000664B9">
        <w:rPr>
          <w:rFonts w:eastAsia="Garamond"/>
          <w:color w:val="000000"/>
          <w:sz w:val="24"/>
          <w:szCs w:val="24"/>
        </w:rPr>
        <w:t xml:space="preserve">unfair competition, </w:t>
      </w:r>
      <w:r w:rsidR="002947B1" w:rsidRPr="000664B9">
        <w:rPr>
          <w:rFonts w:eastAsia="Garamond"/>
          <w:color w:val="000000"/>
          <w:sz w:val="24"/>
          <w:szCs w:val="24"/>
        </w:rPr>
        <w:t xml:space="preserve">copyright, Internet law, and other IP issues on behalf of companies </w:t>
      </w:r>
      <w:r w:rsidR="002947B1" w:rsidRPr="00D91990">
        <w:rPr>
          <w:rFonts w:eastAsia="Garamond"/>
          <w:color w:val="000000"/>
          <w:sz w:val="24"/>
          <w:szCs w:val="24"/>
        </w:rPr>
        <w:t xml:space="preserve">across </w:t>
      </w:r>
      <w:r w:rsidR="00D83631" w:rsidRPr="00D91990">
        <w:rPr>
          <w:rFonts w:eastAsia="Garamond"/>
          <w:color w:val="000000"/>
          <w:sz w:val="24"/>
          <w:szCs w:val="24"/>
        </w:rPr>
        <w:t xml:space="preserve">a wide variety </w:t>
      </w:r>
      <w:r w:rsidR="00D91990">
        <w:rPr>
          <w:rFonts w:eastAsia="Garamond"/>
          <w:color w:val="000000"/>
          <w:sz w:val="24"/>
          <w:szCs w:val="24"/>
        </w:rPr>
        <w:t xml:space="preserve">of </w:t>
      </w:r>
      <w:r w:rsidR="002947B1" w:rsidRPr="00D91990">
        <w:rPr>
          <w:rFonts w:eastAsia="Garamond"/>
          <w:color w:val="000000"/>
          <w:sz w:val="24"/>
          <w:szCs w:val="24"/>
        </w:rPr>
        <w:t>industries, including</w:t>
      </w:r>
      <w:r w:rsidR="006E1D6A" w:rsidRPr="00D91990">
        <w:rPr>
          <w:rFonts w:eastAsia="Garamond"/>
          <w:color w:val="000000"/>
          <w:sz w:val="24"/>
          <w:szCs w:val="24"/>
        </w:rPr>
        <w:t xml:space="preserve"> </w:t>
      </w:r>
      <w:r w:rsidR="0000326A">
        <w:rPr>
          <w:rFonts w:eastAsia="Garamond"/>
          <w:color w:val="000000"/>
          <w:sz w:val="24"/>
          <w:szCs w:val="24"/>
        </w:rPr>
        <w:t xml:space="preserve">well-known </w:t>
      </w:r>
      <w:r w:rsidR="00D91990">
        <w:rPr>
          <w:rFonts w:eastAsia="Garamond"/>
          <w:color w:val="000000"/>
          <w:sz w:val="24"/>
          <w:szCs w:val="24"/>
        </w:rPr>
        <w:t xml:space="preserve">department stores, </w:t>
      </w:r>
      <w:r w:rsidR="00654D9C">
        <w:rPr>
          <w:rFonts w:eastAsia="Garamond"/>
          <w:color w:val="000000"/>
          <w:sz w:val="24"/>
          <w:szCs w:val="24"/>
        </w:rPr>
        <w:t xml:space="preserve">luxury </w:t>
      </w:r>
      <w:r w:rsidR="0000326A">
        <w:rPr>
          <w:rFonts w:eastAsia="Garamond"/>
          <w:color w:val="000000"/>
          <w:sz w:val="24"/>
          <w:szCs w:val="24"/>
        </w:rPr>
        <w:t xml:space="preserve">and lifestyle apparel and jewelry brands, fast fashion </w:t>
      </w:r>
      <w:r w:rsidR="00654D9C">
        <w:rPr>
          <w:rFonts w:eastAsia="Garamond"/>
          <w:color w:val="000000"/>
          <w:sz w:val="24"/>
          <w:szCs w:val="24"/>
        </w:rPr>
        <w:t xml:space="preserve">brands, </w:t>
      </w:r>
      <w:r w:rsidR="00D91990">
        <w:rPr>
          <w:rFonts w:eastAsia="Garamond"/>
          <w:color w:val="000000"/>
          <w:sz w:val="24"/>
          <w:szCs w:val="24"/>
        </w:rPr>
        <w:t>national discount retailer</w:t>
      </w:r>
      <w:r w:rsidR="0000326A">
        <w:rPr>
          <w:rFonts w:eastAsia="Garamond"/>
          <w:color w:val="000000"/>
          <w:sz w:val="24"/>
          <w:szCs w:val="24"/>
        </w:rPr>
        <w:t>s</w:t>
      </w:r>
      <w:r w:rsidR="00265434">
        <w:rPr>
          <w:rFonts w:eastAsia="Garamond"/>
          <w:color w:val="000000"/>
          <w:sz w:val="24"/>
          <w:szCs w:val="24"/>
        </w:rPr>
        <w:t>,</w:t>
      </w:r>
      <w:r w:rsidR="00D91990">
        <w:rPr>
          <w:rFonts w:eastAsia="Garamond"/>
          <w:color w:val="000000"/>
          <w:sz w:val="24"/>
          <w:szCs w:val="24"/>
        </w:rPr>
        <w:t xml:space="preserve"> healthcare systems,</w:t>
      </w:r>
      <w:r w:rsidR="00654D9C">
        <w:rPr>
          <w:rFonts w:eastAsia="Garamond"/>
          <w:color w:val="000000"/>
          <w:sz w:val="24"/>
          <w:szCs w:val="24"/>
        </w:rPr>
        <w:t xml:space="preserve"> </w:t>
      </w:r>
      <w:r w:rsidR="00265434">
        <w:rPr>
          <w:rFonts w:eastAsia="Garamond"/>
          <w:color w:val="000000"/>
          <w:sz w:val="24"/>
          <w:szCs w:val="24"/>
        </w:rPr>
        <w:t>a</w:t>
      </w:r>
      <w:r w:rsidR="0000326A">
        <w:rPr>
          <w:rFonts w:eastAsia="Garamond"/>
          <w:color w:val="000000"/>
          <w:sz w:val="24"/>
          <w:szCs w:val="24"/>
        </w:rPr>
        <w:t>nd</w:t>
      </w:r>
      <w:r w:rsidR="00654D9C">
        <w:rPr>
          <w:rFonts w:eastAsia="Garamond"/>
          <w:color w:val="000000"/>
          <w:sz w:val="24"/>
          <w:szCs w:val="24"/>
        </w:rPr>
        <w:t xml:space="preserve"> </w:t>
      </w:r>
      <w:r w:rsidR="00323D1F">
        <w:rPr>
          <w:rFonts w:eastAsia="Garamond"/>
          <w:color w:val="000000"/>
          <w:sz w:val="24"/>
          <w:szCs w:val="24"/>
        </w:rPr>
        <w:t xml:space="preserve"> </w:t>
      </w:r>
      <w:r w:rsidR="006E1D6A" w:rsidRPr="00D91990">
        <w:rPr>
          <w:rFonts w:eastAsia="Garamond"/>
          <w:color w:val="000000"/>
          <w:sz w:val="24"/>
          <w:szCs w:val="24"/>
        </w:rPr>
        <w:t xml:space="preserve">hospitality, </w:t>
      </w:r>
      <w:r w:rsidR="0000326A">
        <w:rPr>
          <w:rFonts w:eastAsia="Garamond"/>
          <w:color w:val="000000"/>
          <w:sz w:val="24"/>
          <w:szCs w:val="24"/>
        </w:rPr>
        <w:t xml:space="preserve">food and beverage, </w:t>
      </w:r>
      <w:r w:rsidR="006E1D6A" w:rsidRPr="00D91990">
        <w:rPr>
          <w:rFonts w:eastAsia="Garamond"/>
          <w:color w:val="000000"/>
          <w:sz w:val="24"/>
          <w:szCs w:val="24"/>
        </w:rPr>
        <w:t xml:space="preserve">medical, </w:t>
      </w:r>
      <w:r w:rsidR="0000326A">
        <w:rPr>
          <w:rFonts w:eastAsia="Garamond"/>
          <w:color w:val="000000"/>
          <w:sz w:val="24"/>
          <w:szCs w:val="24"/>
        </w:rPr>
        <w:t xml:space="preserve">plush </w:t>
      </w:r>
      <w:r w:rsidR="006E1D6A" w:rsidRPr="00D91990">
        <w:rPr>
          <w:rFonts w:eastAsia="Garamond"/>
          <w:color w:val="000000"/>
          <w:sz w:val="24"/>
          <w:szCs w:val="24"/>
        </w:rPr>
        <w:t>toy and consumer electronics c</w:t>
      </w:r>
      <w:r w:rsidR="00654D9C">
        <w:rPr>
          <w:rFonts w:eastAsia="Garamond"/>
          <w:color w:val="000000"/>
          <w:sz w:val="24"/>
          <w:szCs w:val="24"/>
        </w:rPr>
        <w:t>ompanie</w:t>
      </w:r>
      <w:r w:rsidR="00D83631" w:rsidRPr="00D91990">
        <w:rPr>
          <w:rFonts w:eastAsia="Garamond"/>
          <w:color w:val="000000"/>
          <w:sz w:val="24"/>
          <w:szCs w:val="24"/>
        </w:rPr>
        <w:t>s</w:t>
      </w:r>
      <w:r w:rsidR="002947B1" w:rsidRPr="00D91990">
        <w:rPr>
          <w:rFonts w:eastAsia="Garamond"/>
          <w:color w:val="000000"/>
          <w:sz w:val="24"/>
          <w:szCs w:val="24"/>
        </w:rPr>
        <w:t>.</w:t>
      </w:r>
      <w:r w:rsidR="00C91F72" w:rsidRPr="00D91990">
        <w:rPr>
          <w:rFonts w:eastAsia="Garamond"/>
          <w:color w:val="000000"/>
          <w:sz w:val="24"/>
          <w:szCs w:val="24"/>
        </w:rPr>
        <w:t xml:space="preserve"> </w:t>
      </w:r>
    </w:p>
    <w:p w14:paraId="29B4F7EC" w14:textId="324D9A9E" w:rsidR="0029650C" w:rsidRPr="000664B9" w:rsidRDefault="00031AF8" w:rsidP="00573B4D">
      <w:pPr>
        <w:pBdr>
          <w:bottom w:val="single" w:sz="12" w:space="1" w:color="auto"/>
        </w:pBdr>
        <w:spacing w:line="240" w:lineRule="exact"/>
        <w:textAlignment w:val="baseline"/>
        <w:rPr>
          <w:rFonts w:eastAsia="Garamond"/>
          <w:b/>
          <w:smallCaps/>
          <w:sz w:val="24"/>
          <w:szCs w:val="24"/>
        </w:rPr>
      </w:pPr>
      <w:r>
        <w:rPr>
          <w:rFonts w:eastAsia="Garamond"/>
          <w:b/>
          <w:smallCaps/>
          <w:color w:val="000000"/>
          <w:sz w:val="24"/>
          <w:szCs w:val="24"/>
        </w:rPr>
        <w:t xml:space="preserve">Legal </w:t>
      </w:r>
      <w:r w:rsidR="0029650C" w:rsidRPr="00D91990">
        <w:rPr>
          <w:rFonts w:eastAsia="Garamond"/>
          <w:b/>
          <w:smallCaps/>
          <w:color w:val="000000"/>
          <w:sz w:val="24"/>
          <w:szCs w:val="24"/>
        </w:rPr>
        <w:t>Experience</w:t>
      </w:r>
    </w:p>
    <w:p w14:paraId="4A77D509" w14:textId="16E9113E" w:rsidR="00A3705D" w:rsidRPr="000664B9" w:rsidRDefault="002C5B34" w:rsidP="0029650C">
      <w:pPr>
        <w:tabs>
          <w:tab w:val="right" w:pos="10296"/>
        </w:tabs>
        <w:spacing w:line="240" w:lineRule="exact"/>
        <w:textAlignment w:val="baseline"/>
        <w:rPr>
          <w:rFonts w:eastAsia="Garamond"/>
          <w:b/>
          <w:color w:val="000000"/>
          <w:sz w:val="24"/>
          <w:szCs w:val="24"/>
        </w:rPr>
      </w:pPr>
      <w:r w:rsidRPr="000664B9">
        <w:rPr>
          <w:rFonts w:eastAsia="Garamond"/>
          <w:b/>
          <w:smallCaps/>
          <w:color w:val="000000"/>
          <w:sz w:val="24"/>
          <w:szCs w:val="24"/>
        </w:rPr>
        <w:t>Amster Rothstein &amp; Ebenstein LLP</w:t>
      </w:r>
      <w:r w:rsidR="002947B1" w:rsidRPr="000664B9">
        <w:rPr>
          <w:rFonts w:eastAsia="Garamond"/>
          <w:color w:val="000000"/>
          <w:sz w:val="24"/>
          <w:szCs w:val="24"/>
        </w:rPr>
        <w:t>, New York, NY</w:t>
      </w:r>
      <w:r w:rsidR="002947B1" w:rsidRPr="000664B9">
        <w:rPr>
          <w:rFonts w:eastAsia="Garamond"/>
          <w:color w:val="000000"/>
          <w:sz w:val="24"/>
          <w:szCs w:val="24"/>
        </w:rPr>
        <w:tab/>
      </w:r>
      <w:r w:rsidR="006E1D6A" w:rsidRPr="000664B9">
        <w:rPr>
          <w:rFonts w:eastAsia="Garamond"/>
          <w:b/>
          <w:color w:val="000000"/>
          <w:sz w:val="24"/>
          <w:szCs w:val="24"/>
        </w:rPr>
        <w:t>May 1998</w:t>
      </w:r>
      <w:r w:rsidR="002947B1" w:rsidRPr="000664B9">
        <w:rPr>
          <w:rFonts w:eastAsia="Garamond"/>
          <w:b/>
          <w:color w:val="000000"/>
          <w:sz w:val="24"/>
          <w:szCs w:val="24"/>
        </w:rPr>
        <w:t xml:space="preserve"> - Present</w:t>
      </w:r>
    </w:p>
    <w:p w14:paraId="4A77D50A" w14:textId="2A0AE270" w:rsidR="00A3705D" w:rsidRPr="000664B9" w:rsidRDefault="00684CCD" w:rsidP="0029650C">
      <w:pPr>
        <w:spacing w:line="240" w:lineRule="exact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  <w:r w:rsidRPr="000664B9">
        <w:rPr>
          <w:rFonts w:eastAsia="Garamond"/>
          <w:i/>
          <w:color w:val="000000"/>
          <w:spacing w:val="2"/>
          <w:sz w:val="24"/>
          <w:szCs w:val="24"/>
        </w:rPr>
        <w:t xml:space="preserve">Partner, Senior Associate, </w:t>
      </w:r>
      <w:r w:rsidR="002947B1" w:rsidRPr="000664B9">
        <w:rPr>
          <w:rFonts w:eastAsia="Garamond"/>
          <w:i/>
          <w:color w:val="000000"/>
          <w:spacing w:val="2"/>
          <w:sz w:val="24"/>
          <w:szCs w:val="24"/>
        </w:rPr>
        <w:t>Associate</w:t>
      </w:r>
    </w:p>
    <w:p w14:paraId="56CFE1FE" w14:textId="77777777" w:rsidR="00CE519C" w:rsidRPr="000664B9" w:rsidRDefault="00CE519C" w:rsidP="0029650C">
      <w:pPr>
        <w:ind w:left="288" w:hanging="288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</w:p>
    <w:p w14:paraId="5A28A3B8" w14:textId="58B60261" w:rsidR="00D91990" w:rsidRPr="00654D9C" w:rsidRDefault="00654D9C" w:rsidP="00654D9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P</w:t>
      </w:r>
      <w:r w:rsidR="002947B1" w:rsidRPr="00654D9C">
        <w:rPr>
          <w:rFonts w:eastAsia="Garamond"/>
          <w:color w:val="000000"/>
          <w:sz w:val="24"/>
          <w:szCs w:val="24"/>
        </w:rPr>
        <w:t xml:space="preserve">rovide strategic counseling to clients on </w:t>
      </w:r>
      <w:r w:rsidR="00CE519C" w:rsidRPr="00654D9C">
        <w:rPr>
          <w:rFonts w:eastAsia="Garamond"/>
          <w:color w:val="000000"/>
          <w:sz w:val="24"/>
          <w:szCs w:val="24"/>
        </w:rPr>
        <w:t xml:space="preserve">a </w:t>
      </w:r>
      <w:r w:rsidR="002947B1" w:rsidRPr="00654D9C">
        <w:rPr>
          <w:rFonts w:eastAsia="Garamond"/>
          <w:color w:val="000000"/>
          <w:sz w:val="24"/>
          <w:szCs w:val="24"/>
        </w:rPr>
        <w:t xml:space="preserve">wide range of trademark, </w:t>
      </w:r>
      <w:r w:rsidR="00382D03" w:rsidRPr="00654D9C">
        <w:rPr>
          <w:rFonts w:eastAsia="Garamond"/>
          <w:color w:val="000000"/>
          <w:sz w:val="24"/>
          <w:szCs w:val="24"/>
        </w:rPr>
        <w:t xml:space="preserve">trade dress, </w:t>
      </w:r>
      <w:r w:rsidR="00D91990" w:rsidRPr="00654D9C">
        <w:rPr>
          <w:rFonts w:eastAsia="Garamond"/>
          <w:color w:val="000000"/>
          <w:sz w:val="24"/>
          <w:szCs w:val="24"/>
        </w:rPr>
        <w:t xml:space="preserve">design patent, </w:t>
      </w:r>
      <w:r w:rsidR="002947B1" w:rsidRPr="00654D9C">
        <w:rPr>
          <w:rFonts w:eastAsia="Garamond"/>
          <w:color w:val="000000"/>
          <w:sz w:val="24"/>
          <w:szCs w:val="24"/>
        </w:rPr>
        <w:t xml:space="preserve">copyright, </w:t>
      </w:r>
      <w:r w:rsidR="00382D03" w:rsidRPr="00654D9C">
        <w:rPr>
          <w:rFonts w:eastAsia="Garamond"/>
          <w:color w:val="000000"/>
          <w:sz w:val="24"/>
          <w:szCs w:val="24"/>
        </w:rPr>
        <w:t xml:space="preserve">right of publicity, </w:t>
      </w:r>
      <w:r w:rsidR="002947B1" w:rsidRPr="00654D9C">
        <w:rPr>
          <w:rFonts w:eastAsia="Garamond"/>
          <w:color w:val="000000"/>
          <w:sz w:val="24"/>
          <w:szCs w:val="24"/>
        </w:rPr>
        <w:t>licensing, advertising, and Internet law issues</w:t>
      </w:r>
      <w:r w:rsidR="001A734A" w:rsidRPr="00654D9C">
        <w:rPr>
          <w:sz w:val="24"/>
          <w:szCs w:val="24"/>
        </w:rPr>
        <w:t xml:space="preserve"> </w:t>
      </w:r>
      <w:r w:rsidR="001A734A" w:rsidRPr="00654D9C">
        <w:rPr>
          <w:rFonts w:eastAsia="Garamond"/>
          <w:color w:val="000000"/>
          <w:sz w:val="24"/>
          <w:szCs w:val="24"/>
        </w:rPr>
        <w:t xml:space="preserve">on behalf of companies </w:t>
      </w:r>
      <w:r w:rsidR="00D91990" w:rsidRPr="00654D9C">
        <w:rPr>
          <w:rFonts w:eastAsia="Garamond"/>
          <w:color w:val="000000"/>
          <w:sz w:val="24"/>
          <w:szCs w:val="24"/>
        </w:rPr>
        <w:t xml:space="preserve">across a wide variety of industries. </w:t>
      </w:r>
    </w:p>
    <w:p w14:paraId="4A77D50C" w14:textId="1A9E84A2" w:rsidR="00A3705D" w:rsidRPr="000664B9" w:rsidRDefault="002947B1" w:rsidP="0029650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pacing w:val="-2"/>
          <w:sz w:val="24"/>
          <w:szCs w:val="24"/>
        </w:rPr>
      </w:pPr>
      <w:r w:rsidRPr="000664B9">
        <w:rPr>
          <w:rFonts w:eastAsia="Garamond"/>
          <w:color w:val="000000"/>
          <w:spacing w:val="-2"/>
          <w:sz w:val="24"/>
          <w:szCs w:val="24"/>
        </w:rPr>
        <w:t xml:space="preserve">Responsible </w:t>
      </w:r>
      <w:r w:rsidRPr="000664B9">
        <w:rPr>
          <w:rFonts w:eastAsia="Garamond"/>
          <w:color w:val="000000"/>
          <w:sz w:val="24"/>
          <w:szCs w:val="24"/>
        </w:rPr>
        <w:t>for</w:t>
      </w:r>
      <w:r w:rsidRPr="000664B9">
        <w:rPr>
          <w:rFonts w:eastAsia="Garamond"/>
          <w:color w:val="000000"/>
          <w:spacing w:val="-2"/>
          <w:sz w:val="24"/>
          <w:szCs w:val="24"/>
        </w:rPr>
        <w:t xml:space="preserve"> all aspects of trademark and copyright practice, including clearance, prosecution, maintenance, and enforcement of trademark and copyright portfolios; </w:t>
      </w:r>
      <w:r w:rsidR="001A734A" w:rsidRPr="000664B9">
        <w:rPr>
          <w:rFonts w:eastAsia="Garamond"/>
          <w:color w:val="000000"/>
          <w:spacing w:val="-2"/>
          <w:sz w:val="24"/>
          <w:szCs w:val="24"/>
        </w:rPr>
        <w:t>TTAB opposition and cancellation proceedings</w:t>
      </w:r>
      <w:r w:rsidR="00CE519C" w:rsidRPr="000664B9">
        <w:rPr>
          <w:rFonts w:eastAsia="Garamond"/>
          <w:color w:val="000000"/>
          <w:spacing w:val="-2"/>
          <w:sz w:val="24"/>
          <w:szCs w:val="24"/>
        </w:rPr>
        <w:t xml:space="preserve">; UDRP proceedings and other domain name disputes; </w:t>
      </w:r>
      <w:r w:rsidRPr="000664B9">
        <w:rPr>
          <w:rFonts w:eastAsia="Garamond"/>
          <w:color w:val="000000"/>
          <w:spacing w:val="-2"/>
          <w:sz w:val="24"/>
          <w:szCs w:val="24"/>
        </w:rPr>
        <w:t xml:space="preserve">pre-litigation disputes; </w:t>
      </w:r>
      <w:r w:rsidR="00C33257" w:rsidRPr="000664B9">
        <w:rPr>
          <w:rFonts w:eastAsia="Garamond"/>
          <w:color w:val="000000"/>
          <w:spacing w:val="-2"/>
          <w:sz w:val="24"/>
          <w:szCs w:val="24"/>
        </w:rPr>
        <w:t xml:space="preserve">federal court </w:t>
      </w:r>
      <w:r w:rsidRPr="000664B9">
        <w:rPr>
          <w:rFonts w:eastAsia="Garamond"/>
          <w:color w:val="000000"/>
          <w:spacing w:val="-2"/>
          <w:sz w:val="24"/>
          <w:szCs w:val="24"/>
        </w:rPr>
        <w:t>litigation; dispute resolution</w:t>
      </w:r>
      <w:r w:rsidR="00CE519C" w:rsidRPr="000664B9">
        <w:rPr>
          <w:rFonts w:eastAsia="Garamond"/>
          <w:color w:val="000000"/>
          <w:spacing w:val="-2"/>
          <w:sz w:val="24"/>
          <w:szCs w:val="24"/>
        </w:rPr>
        <w:t xml:space="preserve">; </w:t>
      </w:r>
      <w:r w:rsidRPr="000664B9">
        <w:rPr>
          <w:rFonts w:eastAsia="Garamond"/>
          <w:color w:val="000000"/>
          <w:spacing w:val="-2"/>
          <w:sz w:val="24"/>
          <w:szCs w:val="24"/>
        </w:rPr>
        <w:t>settlement, license, assignment, coexistence, and related IP agreements</w:t>
      </w:r>
      <w:r w:rsidR="0029650C" w:rsidRPr="000664B9">
        <w:rPr>
          <w:rFonts w:eastAsia="Garamond"/>
          <w:color w:val="000000"/>
          <w:spacing w:val="-2"/>
          <w:sz w:val="24"/>
          <w:szCs w:val="24"/>
        </w:rPr>
        <w:t>.</w:t>
      </w:r>
    </w:p>
    <w:p w14:paraId="72103E99" w14:textId="46EE3F09" w:rsidR="00CE519C" w:rsidRPr="000664B9" w:rsidRDefault="00CE519C" w:rsidP="0029650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9A26B3">
        <w:rPr>
          <w:rFonts w:eastAsia="Garamond"/>
          <w:color w:val="000000"/>
          <w:spacing w:val="-2"/>
          <w:sz w:val="24"/>
          <w:szCs w:val="24"/>
        </w:rPr>
        <w:t>R</w:t>
      </w:r>
      <w:r w:rsidRPr="000664B9">
        <w:rPr>
          <w:rFonts w:eastAsia="Garamond"/>
          <w:color w:val="000000"/>
          <w:sz w:val="24"/>
          <w:szCs w:val="24"/>
        </w:rPr>
        <w:t xml:space="preserve">eview </w:t>
      </w:r>
      <w:r w:rsidR="002947B1" w:rsidRPr="000664B9">
        <w:rPr>
          <w:rFonts w:eastAsia="Garamond"/>
          <w:color w:val="000000"/>
          <w:sz w:val="24"/>
          <w:szCs w:val="24"/>
        </w:rPr>
        <w:t>advertising copy</w:t>
      </w:r>
      <w:r w:rsidRPr="000664B9">
        <w:rPr>
          <w:rFonts w:eastAsia="Garamond"/>
          <w:color w:val="000000"/>
          <w:sz w:val="24"/>
          <w:szCs w:val="24"/>
        </w:rPr>
        <w:t xml:space="preserve"> and product </w:t>
      </w:r>
      <w:r w:rsidR="001A734A" w:rsidRPr="000664B9">
        <w:rPr>
          <w:rFonts w:eastAsia="Garamond"/>
          <w:color w:val="000000"/>
          <w:sz w:val="24"/>
          <w:szCs w:val="24"/>
        </w:rPr>
        <w:t>packaging</w:t>
      </w:r>
      <w:r w:rsidR="00D91990">
        <w:rPr>
          <w:rFonts w:eastAsia="Garamond"/>
          <w:color w:val="000000"/>
          <w:sz w:val="24"/>
          <w:szCs w:val="24"/>
        </w:rPr>
        <w:t xml:space="preserve"> for IP issues, including </w:t>
      </w:r>
      <w:r w:rsidR="00265434">
        <w:rPr>
          <w:rFonts w:eastAsia="Garamond"/>
          <w:color w:val="000000"/>
          <w:sz w:val="24"/>
          <w:szCs w:val="24"/>
        </w:rPr>
        <w:t xml:space="preserve">proper use of </w:t>
      </w:r>
      <w:r w:rsidR="00D91990">
        <w:rPr>
          <w:rFonts w:eastAsia="Garamond"/>
          <w:color w:val="000000"/>
          <w:sz w:val="24"/>
          <w:szCs w:val="24"/>
        </w:rPr>
        <w:t>trademark</w:t>
      </w:r>
      <w:r w:rsidR="00265434">
        <w:rPr>
          <w:rFonts w:eastAsia="Garamond"/>
          <w:color w:val="000000"/>
          <w:sz w:val="24"/>
          <w:szCs w:val="24"/>
        </w:rPr>
        <w:t>s</w:t>
      </w:r>
      <w:r w:rsidR="00D91990">
        <w:rPr>
          <w:rFonts w:eastAsia="Garamond"/>
          <w:color w:val="000000"/>
          <w:sz w:val="24"/>
          <w:szCs w:val="24"/>
        </w:rPr>
        <w:t xml:space="preserve"> and </w:t>
      </w:r>
      <w:r w:rsidR="00265434">
        <w:rPr>
          <w:rFonts w:eastAsia="Garamond"/>
          <w:color w:val="000000"/>
          <w:sz w:val="24"/>
          <w:szCs w:val="24"/>
        </w:rPr>
        <w:t>support for</w:t>
      </w:r>
      <w:r w:rsidR="00D91990">
        <w:rPr>
          <w:rFonts w:eastAsia="Garamond"/>
          <w:color w:val="000000"/>
          <w:sz w:val="24"/>
          <w:szCs w:val="24"/>
        </w:rPr>
        <w:t xml:space="preserve"> advertising</w:t>
      </w:r>
      <w:r w:rsidR="00265434">
        <w:rPr>
          <w:rFonts w:eastAsia="Garamond"/>
          <w:color w:val="000000"/>
          <w:sz w:val="24"/>
          <w:szCs w:val="24"/>
        </w:rPr>
        <w:t xml:space="preserve"> claimed</w:t>
      </w:r>
      <w:r w:rsidR="0029650C" w:rsidRPr="000664B9">
        <w:rPr>
          <w:rFonts w:eastAsia="Garamond"/>
          <w:color w:val="000000"/>
          <w:sz w:val="24"/>
          <w:szCs w:val="24"/>
        </w:rPr>
        <w:t>.</w:t>
      </w:r>
    </w:p>
    <w:p w14:paraId="3A0177C8" w14:textId="734C33E1" w:rsidR="00CE519C" w:rsidRPr="000664B9" w:rsidRDefault="002947B1" w:rsidP="0029650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0664B9">
        <w:rPr>
          <w:rFonts w:eastAsia="Garamond"/>
          <w:color w:val="000000"/>
          <w:sz w:val="24"/>
          <w:szCs w:val="24"/>
        </w:rPr>
        <w:t xml:space="preserve">Develop and implement comprehensive global </w:t>
      </w:r>
      <w:r w:rsidR="00C64479" w:rsidRPr="000664B9">
        <w:rPr>
          <w:rFonts w:eastAsia="Garamond"/>
          <w:color w:val="000000"/>
          <w:sz w:val="24"/>
          <w:szCs w:val="24"/>
        </w:rPr>
        <w:t>IP</w:t>
      </w:r>
      <w:r w:rsidRPr="000664B9">
        <w:rPr>
          <w:rFonts w:eastAsia="Garamond"/>
          <w:color w:val="000000"/>
          <w:sz w:val="24"/>
          <w:szCs w:val="24"/>
        </w:rPr>
        <w:t xml:space="preserve"> policing and enforcement programs to protect clients’ </w:t>
      </w:r>
      <w:r w:rsidRPr="009A26B3">
        <w:rPr>
          <w:rFonts w:eastAsia="Garamond"/>
          <w:color w:val="000000"/>
          <w:spacing w:val="-2"/>
          <w:sz w:val="24"/>
          <w:szCs w:val="24"/>
        </w:rPr>
        <w:t>trademarks</w:t>
      </w:r>
      <w:r w:rsidRPr="000664B9">
        <w:rPr>
          <w:rFonts w:eastAsia="Garamond"/>
          <w:color w:val="000000"/>
          <w:sz w:val="24"/>
          <w:szCs w:val="24"/>
        </w:rPr>
        <w:t xml:space="preserve"> and to combat the distribution of infringing goods</w:t>
      </w:r>
      <w:r w:rsidR="0029650C" w:rsidRPr="000664B9">
        <w:rPr>
          <w:rFonts w:eastAsia="Garamond"/>
          <w:color w:val="000000"/>
          <w:sz w:val="24"/>
          <w:szCs w:val="24"/>
        </w:rPr>
        <w:t>.</w:t>
      </w:r>
    </w:p>
    <w:p w14:paraId="3CAAE085" w14:textId="2A8B7BFA" w:rsidR="00CE519C" w:rsidRPr="000664B9" w:rsidRDefault="00F10E40" w:rsidP="0029650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proofErr w:type="gramStart"/>
      <w:r>
        <w:rPr>
          <w:rFonts w:eastAsia="Garamond"/>
          <w:color w:val="000000"/>
          <w:sz w:val="24"/>
          <w:szCs w:val="24"/>
        </w:rPr>
        <w:t>H</w:t>
      </w:r>
      <w:r w:rsidR="002947B1" w:rsidRPr="000664B9">
        <w:rPr>
          <w:rFonts w:eastAsia="Garamond"/>
          <w:color w:val="000000"/>
          <w:sz w:val="24"/>
          <w:szCs w:val="24"/>
        </w:rPr>
        <w:t>andl</w:t>
      </w:r>
      <w:r>
        <w:rPr>
          <w:rFonts w:eastAsia="Garamond"/>
          <w:color w:val="000000"/>
          <w:sz w:val="24"/>
          <w:szCs w:val="24"/>
        </w:rPr>
        <w:t>e</w:t>
      </w:r>
      <w:proofErr w:type="gramEnd"/>
      <w:r w:rsidR="002947B1" w:rsidRPr="000664B9">
        <w:rPr>
          <w:rFonts w:eastAsia="Garamond"/>
          <w:color w:val="000000"/>
          <w:sz w:val="24"/>
          <w:szCs w:val="24"/>
        </w:rPr>
        <w:t xml:space="preserve"> domestic trademark prosecution and clearance work</w:t>
      </w:r>
      <w:r w:rsidR="00CE519C" w:rsidRPr="000664B9">
        <w:rPr>
          <w:rFonts w:eastAsia="Garamond"/>
          <w:color w:val="000000"/>
          <w:sz w:val="24"/>
          <w:szCs w:val="24"/>
        </w:rPr>
        <w:t xml:space="preserve"> </w:t>
      </w:r>
      <w:r w:rsidR="00654D9C">
        <w:rPr>
          <w:rFonts w:eastAsia="Garamond"/>
          <w:color w:val="000000"/>
          <w:sz w:val="24"/>
          <w:szCs w:val="24"/>
        </w:rPr>
        <w:t xml:space="preserve">and </w:t>
      </w:r>
      <w:r w:rsidR="00CE519C" w:rsidRPr="000664B9">
        <w:rPr>
          <w:rFonts w:eastAsia="Garamond"/>
          <w:color w:val="000000"/>
          <w:sz w:val="24"/>
          <w:szCs w:val="24"/>
        </w:rPr>
        <w:t>coordinat</w:t>
      </w:r>
      <w:r w:rsidR="00654D9C">
        <w:rPr>
          <w:rFonts w:eastAsia="Garamond"/>
          <w:color w:val="000000"/>
          <w:sz w:val="24"/>
          <w:szCs w:val="24"/>
        </w:rPr>
        <w:t>e</w:t>
      </w:r>
      <w:r w:rsidR="00CE519C" w:rsidRPr="000664B9">
        <w:rPr>
          <w:rFonts w:eastAsia="Garamond"/>
          <w:color w:val="000000"/>
          <w:sz w:val="24"/>
          <w:szCs w:val="24"/>
        </w:rPr>
        <w:t xml:space="preserve"> with foreign counsel regarding trademark prosecution and clearance of foreign trademarks</w:t>
      </w:r>
      <w:r w:rsidR="0029650C" w:rsidRPr="000664B9">
        <w:rPr>
          <w:rFonts w:eastAsia="Garamond"/>
          <w:color w:val="000000"/>
          <w:sz w:val="24"/>
          <w:szCs w:val="24"/>
        </w:rPr>
        <w:t>.</w:t>
      </w:r>
    </w:p>
    <w:p w14:paraId="5149145C" w14:textId="62D7ECC8" w:rsidR="00CE519C" w:rsidRDefault="00F10E40" w:rsidP="0029650C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N</w:t>
      </w:r>
      <w:r w:rsidR="002947B1" w:rsidRPr="000664B9">
        <w:rPr>
          <w:rFonts w:eastAsia="Garamond"/>
          <w:color w:val="000000"/>
          <w:sz w:val="24"/>
          <w:szCs w:val="24"/>
        </w:rPr>
        <w:t>egotiat</w:t>
      </w:r>
      <w:r>
        <w:rPr>
          <w:rFonts w:eastAsia="Garamond"/>
          <w:color w:val="000000"/>
          <w:sz w:val="24"/>
          <w:szCs w:val="24"/>
        </w:rPr>
        <w:t>e</w:t>
      </w:r>
      <w:r w:rsidR="002947B1" w:rsidRPr="000664B9">
        <w:rPr>
          <w:rFonts w:eastAsia="Garamond"/>
          <w:color w:val="000000"/>
          <w:sz w:val="24"/>
          <w:szCs w:val="24"/>
        </w:rPr>
        <w:t xml:space="preserve"> and draft </w:t>
      </w:r>
      <w:r w:rsidR="00CE519C" w:rsidRPr="000664B9">
        <w:rPr>
          <w:rFonts w:eastAsia="Garamond"/>
          <w:color w:val="000000"/>
          <w:sz w:val="24"/>
          <w:szCs w:val="24"/>
        </w:rPr>
        <w:t>intellectual property</w:t>
      </w:r>
      <w:r w:rsidR="002947B1" w:rsidRPr="000664B9">
        <w:rPr>
          <w:rFonts w:eastAsia="Garamond"/>
          <w:color w:val="000000"/>
          <w:sz w:val="24"/>
          <w:szCs w:val="24"/>
        </w:rPr>
        <w:t xml:space="preserve"> licenses and transfers, </w:t>
      </w:r>
      <w:r w:rsidR="00D91990">
        <w:rPr>
          <w:rFonts w:eastAsia="Garamond"/>
          <w:color w:val="000000"/>
          <w:sz w:val="24"/>
          <w:szCs w:val="24"/>
        </w:rPr>
        <w:t xml:space="preserve">work-for-hire agreements, non-disclosure agreements, </w:t>
      </w:r>
      <w:r w:rsidR="002947B1" w:rsidRPr="000664B9">
        <w:rPr>
          <w:rFonts w:eastAsia="Garamond"/>
          <w:color w:val="000000"/>
          <w:sz w:val="24"/>
          <w:szCs w:val="24"/>
        </w:rPr>
        <w:t>coexistence agreements, and other commercial agreements</w:t>
      </w:r>
      <w:r w:rsidR="0029650C" w:rsidRPr="000664B9">
        <w:rPr>
          <w:rFonts w:eastAsia="Garamond"/>
          <w:color w:val="000000"/>
          <w:sz w:val="24"/>
          <w:szCs w:val="24"/>
        </w:rPr>
        <w:t>.</w:t>
      </w:r>
    </w:p>
    <w:p w14:paraId="6D510B40" w14:textId="6BF418CF" w:rsidR="000664B9" w:rsidRPr="000664B9" w:rsidRDefault="00382D03" w:rsidP="000664B9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9A26B3">
        <w:rPr>
          <w:rFonts w:eastAsia="Garamond"/>
          <w:color w:val="000000"/>
          <w:spacing w:val="-2"/>
          <w:sz w:val="24"/>
          <w:szCs w:val="24"/>
        </w:rPr>
        <w:t>Responsible</w:t>
      </w:r>
      <w:r w:rsidRPr="000664B9">
        <w:rPr>
          <w:rFonts w:eastAsia="Garamond"/>
          <w:color w:val="000000"/>
          <w:sz w:val="24"/>
          <w:szCs w:val="24"/>
        </w:rPr>
        <w:t xml:space="preserve"> for conducting </w:t>
      </w:r>
      <w:r w:rsidR="003960F8" w:rsidRPr="000664B9">
        <w:rPr>
          <w:rFonts w:eastAsia="Garamond"/>
          <w:color w:val="000000"/>
          <w:sz w:val="24"/>
          <w:szCs w:val="24"/>
        </w:rPr>
        <w:t>intellectual</w:t>
      </w:r>
      <w:r w:rsidR="00CE519C" w:rsidRPr="000664B9">
        <w:rPr>
          <w:rFonts w:eastAsia="Garamond"/>
          <w:color w:val="000000"/>
          <w:sz w:val="24"/>
          <w:szCs w:val="24"/>
        </w:rPr>
        <w:t xml:space="preserve"> property</w:t>
      </w:r>
      <w:r w:rsidRPr="000664B9">
        <w:rPr>
          <w:rFonts w:eastAsia="Garamond"/>
          <w:color w:val="000000"/>
          <w:sz w:val="24"/>
          <w:szCs w:val="24"/>
        </w:rPr>
        <w:t xml:space="preserve"> due diligence and negotiating related agreements for mergers and acquisitions</w:t>
      </w:r>
      <w:r w:rsidR="00CE519C" w:rsidRPr="000664B9">
        <w:rPr>
          <w:rFonts w:eastAsia="Garamond"/>
          <w:color w:val="000000"/>
          <w:sz w:val="24"/>
          <w:szCs w:val="24"/>
        </w:rPr>
        <w:t xml:space="preserve"> and stock transfers</w:t>
      </w:r>
      <w:r w:rsidRPr="000664B9">
        <w:rPr>
          <w:rFonts w:eastAsia="Garamond"/>
          <w:color w:val="000000"/>
          <w:sz w:val="24"/>
          <w:szCs w:val="24"/>
        </w:rPr>
        <w:t xml:space="preserve">, including reviewing IP portfolio of to-be-acquired company and IP agreements of to-be-acquired </w:t>
      </w:r>
      <w:r w:rsidR="00CE519C" w:rsidRPr="000664B9">
        <w:rPr>
          <w:rFonts w:eastAsia="Garamond"/>
          <w:color w:val="000000"/>
          <w:sz w:val="24"/>
          <w:szCs w:val="24"/>
        </w:rPr>
        <w:t>company</w:t>
      </w:r>
      <w:r w:rsidRPr="000664B9">
        <w:rPr>
          <w:rFonts w:eastAsia="Garamond"/>
          <w:color w:val="000000"/>
          <w:sz w:val="24"/>
          <w:szCs w:val="24"/>
        </w:rPr>
        <w:t>; represent</w:t>
      </w:r>
      <w:r w:rsidR="00CE519C" w:rsidRPr="000664B9">
        <w:rPr>
          <w:rFonts w:eastAsia="Garamond"/>
          <w:color w:val="000000"/>
          <w:sz w:val="24"/>
          <w:szCs w:val="24"/>
        </w:rPr>
        <w:t xml:space="preserve">ed </w:t>
      </w:r>
      <w:r w:rsidRPr="000664B9">
        <w:rPr>
          <w:rFonts w:eastAsia="Garamond"/>
          <w:color w:val="000000"/>
          <w:sz w:val="24"/>
          <w:szCs w:val="24"/>
        </w:rPr>
        <w:t>the seller in the sale of an alcohol brand to a global leader in premium drinks</w:t>
      </w:r>
      <w:r w:rsidR="00CE519C" w:rsidRPr="000664B9">
        <w:rPr>
          <w:rFonts w:eastAsia="Garamond"/>
          <w:color w:val="000000"/>
          <w:sz w:val="24"/>
          <w:szCs w:val="24"/>
        </w:rPr>
        <w:t>;</w:t>
      </w:r>
      <w:r w:rsidRPr="000664B9">
        <w:rPr>
          <w:rFonts w:eastAsia="Garamond"/>
          <w:color w:val="000000"/>
          <w:sz w:val="24"/>
          <w:szCs w:val="24"/>
        </w:rPr>
        <w:t xml:space="preserve"> represent</w:t>
      </w:r>
      <w:r w:rsidR="00CE519C" w:rsidRPr="000664B9">
        <w:rPr>
          <w:rFonts w:eastAsia="Garamond"/>
          <w:color w:val="000000"/>
          <w:sz w:val="24"/>
          <w:szCs w:val="24"/>
        </w:rPr>
        <w:t xml:space="preserve">ed </w:t>
      </w:r>
      <w:r w:rsidRPr="000664B9">
        <w:rPr>
          <w:rFonts w:eastAsia="Garamond"/>
          <w:color w:val="000000"/>
          <w:sz w:val="24"/>
          <w:szCs w:val="24"/>
        </w:rPr>
        <w:t>the purchaser of a controlling interest in a celebrity fashion and lifestyle brand</w:t>
      </w:r>
      <w:r w:rsidR="0029650C" w:rsidRPr="000664B9">
        <w:rPr>
          <w:rFonts w:eastAsia="Garamond"/>
          <w:color w:val="000000"/>
          <w:sz w:val="24"/>
          <w:szCs w:val="24"/>
        </w:rPr>
        <w:t>.</w:t>
      </w:r>
    </w:p>
    <w:p w14:paraId="0EA5C788" w14:textId="0E68BE3B" w:rsidR="000664B9" w:rsidRP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Manag</w:t>
      </w:r>
      <w:r w:rsidR="00323D1F">
        <w:rPr>
          <w:rFonts w:eastAsia="Garamond"/>
          <w:color w:val="000000"/>
          <w:sz w:val="24"/>
          <w:szCs w:val="24"/>
        </w:rPr>
        <w:t>e</w:t>
      </w:r>
      <w:r w:rsidR="00CE519C" w:rsidRPr="000664B9">
        <w:rPr>
          <w:rFonts w:eastAsia="Garamond"/>
          <w:color w:val="000000"/>
          <w:sz w:val="24"/>
          <w:szCs w:val="24"/>
        </w:rPr>
        <w:t xml:space="preserve"> </w:t>
      </w:r>
      <w:r>
        <w:rPr>
          <w:rFonts w:eastAsia="Garamond"/>
          <w:color w:val="000000"/>
          <w:sz w:val="24"/>
          <w:szCs w:val="24"/>
        </w:rPr>
        <w:t xml:space="preserve">a team of </w:t>
      </w:r>
      <w:r w:rsidR="00CE519C" w:rsidRPr="000664B9">
        <w:rPr>
          <w:rFonts w:eastAsia="Garamond"/>
          <w:color w:val="000000"/>
          <w:sz w:val="24"/>
          <w:szCs w:val="24"/>
        </w:rPr>
        <w:t xml:space="preserve">junior attorneys and paralegals in </w:t>
      </w:r>
      <w:r w:rsidR="00CE519C" w:rsidRPr="000664B9">
        <w:rPr>
          <w:rFonts w:eastAsia="Garamond"/>
          <w:color w:val="000000"/>
          <w:spacing w:val="-2"/>
          <w:sz w:val="24"/>
          <w:szCs w:val="24"/>
        </w:rPr>
        <w:t>all aspects of trademark and copyright practice, including legal research</w:t>
      </w:r>
      <w:r w:rsidR="00654D9C">
        <w:rPr>
          <w:rFonts w:eastAsia="Garamond"/>
          <w:color w:val="000000"/>
          <w:spacing w:val="-2"/>
          <w:sz w:val="24"/>
          <w:szCs w:val="24"/>
        </w:rPr>
        <w:t xml:space="preserve">, </w:t>
      </w:r>
      <w:r w:rsidR="00CE519C" w:rsidRPr="000664B9">
        <w:rPr>
          <w:rFonts w:eastAsia="Garamond"/>
          <w:color w:val="000000"/>
          <w:spacing w:val="-2"/>
          <w:sz w:val="24"/>
          <w:szCs w:val="24"/>
        </w:rPr>
        <w:t xml:space="preserve">draft </w:t>
      </w:r>
      <w:r w:rsidR="003960F8" w:rsidRPr="000664B9">
        <w:rPr>
          <w:rFonts w:eastAsia="Garamond"/>
          <w:color w:val="000000"/>
          <w:spacing w:val="-2"/>
          <w:sz w:val="24"/>
          <w:szCs w:val="24"/>
        </w:rPr>
        <w:t>pleadings and notice letters</w:t>
      </w:r>
      <w:r w:rsidR="00FC6916" w:rsidRPr="000664B9">
        <w:rPr>
          <w:rFonts w:eastAsia="Garamond"/>
          <w:color w:val="000000"/>
          <w:spacing w:val="-2"/>
          <w:sz w:val="24"/>
          <w:szCs w:val="24"/>
        </w:rPr>
        <w:t>.</w:t>
      </w:r>
    </w:p>
    <w:p w14:paraId="4D877F41" w14:textId="5FF4D568" w:rsidR="000664B9" w:rsidRPr="000664B9" w:rsidRDefault="000664B9" w:rsidP="000664B9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9A26B3">
        <w:rPr>
          <w:rFonts w:eastAsia="Garamond"/>
          <w:color w:val="000000"/>
          <w:spacing w:val="-2"/>
          <w:sz w:val="24"/>
          <w:szCs w:val="24"/>
        </w:rPr>
        <w:t>Responsible</w:t>
      </w:r>
      <w:r>
        <w:rPr>
          <w:rFonts w:eastAsia="Garamond"/>
          <w:color w:val="000000"/>
          <w:sz w:val="24"/>
          <w:szCs w:val="24"/>
        </w:rPr>
        <w:t xml:space="preserve"> for various aspects of litigation, including assessing </w:t>
      </w:r>
      <w:r w:rsidR="00323D1F">
        <w:rPr>
          <w:rFonts w:eastAsia="Garamond"/>
          <w:color w:val="000000"/>
          <w:sz w:val="24"/>
          <w:szCs w:val="24"/>
        </w:rPr>
        <w:t>strengths</w:t>
      </w:r>
      <w:r w:rsidR="00265434">
        <w:rPr>
          <w:rFonts w:eastAsia="Garamond"/>
          <w:color w:val="000000"/>
          <w:sz w:val="24"/>
          <w:szCs w:val="24"/>
        </w:rPr>
        <w:t xml:space="preserve"> and weaknesses of </w:t>
      </w:r>
      <w:r>
        <w:rPr>
          <w:rFonts w:eastAsia="Garamond"/>
          <w:color w:val="000000"/>
          <w:sz w:val="24"/>
          <w:szCs w:val="24"/>
        </w:rPr>
        <w:t xml:space="preserve">cases and strategizing with clients, preparing pleadings and initial disclosures, preparing and responding to discovery, </w:t>
      </w:r>
      <w:r w:rsidR="00265434">
        <w:rPr>
          <w:rFonts w:eastAsia="Garamond"/>
          <w:color w:val="000000"/>
          <w:sz w:val="24"/>
          <w:szCs w:val="24"/>
        </w:rPr>
        <w:t xml:space="preserve">preparing and responding to </w:t>
      </w:r>
      <w:r>
        <w:rPr>
          <w:rFonts w:eastAsia="Garamond"/>
          <w:color w:val="000000"/>
          <w:sz w:val="24"/>
          <w:szCs w:val="24"/>
        </w:rPr>
        <w:t xml:space="preserve">motions </w:t>
      </w:r>
      <w:r w:rsidRPr="0000326A">
        <w:rPr>
          <w:rFonts w:eastAsia="Garamond"/>
          <w:color w:val="000000"/>
          <w:sz w:val="24"/>
          <w:szCs w:val="24"/>
        </w:rPr>
        <w:t>in limine,</w:t>
      </w:r>
      <w:r>
        <w:rPr>
          <w:rFonts w:eastAsia="Garamond"/>
          <w:color w:val="000000"/>
          <w:sz w:val="24"/>
          <w:szCs w:val="24"/>
        </w:rPr>
        <w:t xml:space="preserve"> motions to dismiss and for summary judgment</w:t>
      </w:r>
      <w:r w:rsidR="00323D1F">
        <w:rPr>
          <w:rFonts w:eastAsia="Garamond"/>
          <w:color w:val="000000"/>
          <w:sz w:val="24"/>
          <w:szCs w:val="24"/>
        </w:rPr>
        <w:t>,</w:t>
      </w:r>
      <w:r>
        <w:rPr>
          <w:rFonts w:eastAsia="Garamond"/>
          <w:color w:val="000000"/>
          <w:sz w:val="24"/>
          <w:szCs w:val="24"/>
        </w:rPr>
        <w:t xml:space="preserve"> preparing witnesses for depositions</w:t>
      </w:r>
      <w:r w:rsidR="00323D1F">
        <w:rPr>
          <w:rFonts w:eastAsia="Garamond"/>
          <w:color w:val="000000"/>
          <w:sz w:val="24"/>
          <w:szCs w:val="24"/>
        </w:rPr>
        <w:t>,</w:t>
      </w:r>
      <w:r>
        <w:rPr>
          <w:rFonts w:eastAsia="Garamond"/>
          <w:color w:val="000000"/>
          <w:sz w:val="24"/>
          <w:szCs w:val="24"/>
        </w:rPr>
        <w:t xml:space="preserve"> taking and defending depositions</w:t>
      </w:r>
      <w:r w:rsidR="00323D1F">
        <w:rPr>
          <w:rFonts w:eastAsia="Garamond"/>
          <w:color w:val="000000"/>
          <w:sz w:val="24"/>
          <w:szCs w:val="24"/>
        </w:rPr>
        <w:t>,</w:t>
      </w:r>
      <w:r>
        <w:rPr>
          <w:rFonts w:eastAsia="Garamond"/>
          <w:color w:val="000000"/>
          <w:sz w:val="24"/>
          <w:szCs w:val="24"/>
        </w:rPr>
        <w:t xml:space="preserve"> taking witness testimony during trial</w:t>
      </w:r>
      <w:r w:rsidR="00323D1F">
        <w:rPr>
          <w:rFonts w:eastAsia="Garamond"/>
          <w:color w:val="000000"/>
          <w:sz w:val="24"/>
          <w:szCs w:val="24"/>
        </w:rPr>
        <w:t>,</w:t>
      </w:r>
      <w:r>
        <w:rPr>
          <w:rFonts w:eastAsia="Garamond"/>
          <w:color w:val="000000"/>
          <w:sz w:val="24"/>
          <w:szCs w:val="24"/>
        </w:rPr>
        <w:t xml:space="preserve"> </w:t>
      </w:r>
      <w:r w:rsidR="00323D1F">
        <w:rPr>
          <w:rFonts w:eastAsia="Garamond"/>
          <w:color w:val="000000"/>
          <w:sz w:val="24"/>
          <w:szCs w:val="24"/>
        </w:rPr>
        <w:t xml:space="preserve">and </w:t>
      </w:r>
      <w:r>
        <w:rPr>
          <w:rFonts w:eastAsia="Garamond"/>
          <w:color w:val="000000"/>
          <w:sz w:val="24"/>
          <w:szCs w:val="24"/>
        </w:rPr>
        <w:t>preparing</w:t>
      </w:r>
      <w:r w:rsidR="00265434">
        <w:rPr>
          <w:rFonts w:eastAsia="Garamond"/>
          <w:color w:val="000000"/>
          <w:sz w:val="24"/>
          <w:szCs w:val="24"/>
        </w:rPr>
        <w:t xml:space="preserve"> and responding to</w:t>
      </w:r>
      <w:r>
        <w:rPr>
          <w:rFonts w:eastAsia="Garamond"/>
          <w:color w:val="000000"/>
          <w:sz w:val="24"/>
          <w:szCs w:val="24"/>
        </w:rPr>
        <w:t xml:space="preserve"> trial briefs.</w:t>
      </w:r>
    </w:p>
    <w:p w14:paraId="15ABA1C1" w14:textId="4EABE2E7" w:rsid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S</w:t>
      </w:r>
      <w:r w:rsidRPr="000664B9">
        <w:rPr>
          <w:rFonts w:eastAsia="Garamond"/>
          <w:color w:val="000000"/>
          <w:sz w:val="24"/>
          <w:szCs w:val="24"/>
        </w:rPr>
        <w:t xml:space="preserve">upervise </w:t>
      </w:r>
      <w:r w:rsidRPr="009A26B3">
        <w:rPr>
          <w:rFonts w:eastAsia="Garamond"/>
          <w:color w:val="000000"/>
          <w:spacing w:val="-2"/>
          <w:sz w:val="24"/>
          <w:szCs w:val="24"/>
        </w:rPr>
        <w:t>and</w:t>
      </w:r>
      <w:r w:rsidRPr="000664B9">
        <w:rPr>
          <w:rFonts w:eastAsia="Garamond"/>
          <w:color w:val="000000"/>
          <w:sz w:val="24"/>
          <w:szCs w:val="24"/>
        </w:rPr>
        <w:t xml:space="preserve"> manage review of shoes for </w:t>
      </w:r>
      <w:r>
        <w:rPr>
          <w:rFonts w:eastAsia="Garamond"/>
          <w:color w:val="000000"/>
          <w:sz w:val="24"/>
          <w:szCs w:val="24"/>
        </w:rPr>
        <w:t>trademark, trade dress, copyright and design patent</w:t>
      </w:r>
      <w:r w:rsidRPr="000664B9">
        <w:rPr>
          <w:rFonts w:eastAsia="Garamond"/>
          <w:color w:val="000000"/>
          <w:sz w:val="24"/>
          <w:szCs w:val="24"/>
        </w:rPr>
        <w:t xml:space="preserve"> </w:t>
      </w:r>
      <w:r>
        <w:rPr>
          <w:rFonts w:eastAsia="Garamond"/>
          <w:color w:val="000000"/>
          <w:sz w:val="24"/>
          <w:szCs w:val="24"/>
        </w:rPr>
        <w:t xml:space="preserve">issues </w:t>
      </w:r>
      <w:r w:rsidRPr="000664B9">
        <w:rPr>
          <w:rFonts w:eastAsia="Garamond"/>
          <w:color w:val="000000"/>
          <w:sz w:val="24"/>
          <w:szCs w:val="24"/>
        </w:rPr>
        <w:t>for major national discount retailer</w:t>
      </w:r>
      <w:r>
        <w:rPr>
          <w:rFonts w:eastAsia="Garamond"/>
          <w:color w:val="000000"/>
          <w:sz w:val="24"/>
          <w:szCs w:val="24"/>
        </w:rPr>
        <w:t>.</w:t>
      </w:r>
    </w:p>
    <w:p w14:paraId="502B148D" w14:textId="637F3F31" w:rsidR="00265434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 xml:space="preserve">Successfully </w:t>
      </w:r>
      <w:r w:rsidR="00265434">
        <w:rPr>
          <w:rFonts w:eastAsia="Garamond"/>
          <w:color w:val="000000"/>
          <w:sz w:val="24"/>
          <w:szCs w:val="24"/>
        </w:rPr>
        <w:t xml:space="preserve">sued pharmacy for use of name </w:t>
      </w:r>
      <w:r w:rsidR="00323D1F">
        <w:rPr>
          <w:rFonts w:eastAsia="Garamond"/>
          <w:color w:val="000000"/>
          <w:sz w:val="24"/>
          <w:szCs w:val="24"/>
        </w:rPr>
        <w:t>confusingly</w:t>
      </w:r>
      <w:r w:rsidR="00265434">
        <w:rPr>
          <w:rFonts w:eastAsia="Garamond"/>
          <w:color w:val="000000"/>
          <w:sz w:val="24"/>
          <w:szCs w:val="24"/>
        </w:rPr>
        <w:t xml:space="preserve"> similar to client’s health system</w:t>
      </w:r>
      <w:r w:rsidR="00323D1F">
        <w:rPr>
          <w:rFonts w:eastAsia="Garamond"/>
          <w:color w:val="000000"/>
          <w:sz w:val="24"/>
          <w:szCs w:val="24"/>
        </w:rPr>
        <w:t>.</w:t>
      </w:r>
    </w:p>
    <w:p w14:paraId="4723A64D" w14:textId="136B46E2" w:rsidR="000664B9" w:rsidRDefault="00323D1F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Successfully</w:t>
      </w:r>
      <w:r w:rsidR="00265434">
        <w:rPr>
          <w:rFonts w:eastAsia="Garamond"/>
          <w:color w:val="000000"/>
          <w:sz w:val="24"/>
          <w:szCs w:val="24"/>
        </w:rPr>
        <w:t xml:space="preserve"> </w:t>
      </w:r>
      <w:r w:rsidR="000664B9">
        <w:rPr>
          <w:rFonts w:eastAsia="Garamond"/>
          <w:color w:val="000000"/>
          <w:sz w:val="24"/>
          <w:szCs w:val="24"/>
        </w:rPr>
        <w:t xml:space="preserve">obtained dismissal of trade dress infringement </w:t>
      </w:r>
      <w:r w:rsidR="00265434">
        <w:rPr>
          <w:rFonts w:eastAsia="Garamond"/>
          <w:color w:val="000000"/>
          <w:sz w:val="24"/>
          <w:szCs w:val="24"/>
        </w:rPr>
        <w:t>case for shoes based on failure to</w:t>
      </w:r>
      <w:r w:rsidR="000664B9" w:rsidRPr="000664B9">
        <w:rPr>
          <w:rFonts w:eastAsia="Garamond"/>
          <w:color w:val="000000"/>
          <w:sz w:val="24"/>
          <w:szCs w:val="24"/>
        </w:rPr>
        <w:t xml:space="preserve"> sufficiently describe the character and nature of claimed trade dress. </w:t>
      </w:r>
    </w:p>
    <w:p w14:paraId="735787A4" w14:textId="507EAA09" w:rsid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 xml:space="preserve">Alerted </w:t>
      </w:r>
      <w:r w:rsidRPr="009A26B3">
        <w:rPr>
          <w:rFonts w:eastAsia="Garamond"/>
          <w:color w:val="000000"/>
          <w:spacing w:val="-2"/>
          <w:sz w:val="24"/>
          <w:szCs w:val="24"/>
        </w:rPr>
        <w:t>client</w:t>
      </w:r>
      <w:r>
        <w:rPr>
          <w:rFonts w:eastAsia="Garamond"/>
          <w:color w:val="000000"/>
          <w:sz w:val="24"/>
          <w:szCs w:val="24"/>
        </w:rPr>
        <w:t xml:space="preserve"> to unauthorized use of third</w:t>
      </w:r>
      <w:r w:rsidR="007D4FBE">
        <w:rPr>
          <w:rFonts w:eastAsia="Garamond"/>
          <w:color w:val="000000"/>
          <w:sz w:val="24"/>
          <w:szCs w:val="24"/>
        </w:rPr>
        <w:t>-</w:t>
      </w:r>
      <w:r>
        <w:rPr>
          <w:rFonts w:eastAsia="Garamond"/>
          <w:color w:val="000000"/>
          <w:sz w:val="24"/>
          <w:szCs w:val="24"/>
        </w:rPr>
        <w:t xml:space="preserve">party trademarks by to-be-acquired </w:t>
      </w:r>
      <w:r w:rsidR="00827681">
        <w:rPr>
          <w:rFonts w:eastAsia="Garamond"/>
          <w:color w:val="000000"/>
          <w:sz w:val="24"/>
          <w:szCs w:val="24"/>
        </w:rPr>
        <w:t xml:space="preserve">celebrity </w:t>
      </w:r>
      <w:r>
        <w:rPr>
          <w:rFonts w:eastAsia="Garamond"/>
          <w:color w:val="000000"/>
          <w:sz w:val="24"/>
          <w:szCs w:val="24"/>
        </w:rPr>
        <w:t xml:space="preserve">lifestyle brand company based on review of various due diligence documents, </w:t>
      </w:r>
      <w:r w:rsidR="00323D1F">
        <w:rPr>
          <w:rFonts w:eastAsia="Garamond"/>
          <w:color w:val="000000"/>
          <w:sz w:val="24"/>
          <w:szCs w:val="24"/>
        </w:rPr>
        <w:t>resulting in</w:t>
      </w:r>
      <w:r>
        <w:rPr>
          <w:rFonts w:eastAsia="Garamond"/>
          <w:color w:val="000000"/>
          <w:sz w:val="24"/>
          <w:szCs w:val="24"/>
        </w:rPr>
        <w:t xml:space="preserve"> removal of these uses</w:t>
      </w:r>
      <w:r w:rsidR="00265434">
        <w:rPr>
          <w:rFonts w:eastAsia="Garamond"/>
          <w:color w:val="000000"/>
          <w:sz w:val="24"/>
          <w:szCs w:val="24"/>
        </w:rPr>
        <w:t>.</w:t>
      </w:r>
    </w:p>
    <w:p w14:paraId="2314F36E" w14:textId="1476A20B" w:rsid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lastRenderedPageBreak/>
        <w:t>P</w:t>
      </w:r>
      <w:r w:rsidR="00E73F15" w:rsidRPr="000664B9">
        <w:rPr>
          <w:rFonts w:eastAsia="Garamond"/>
          <w:color w:val="000000"/>
          <w:sz w:val="24"/>
          <w:szCs w:val="24"/>
        </w:rPr>
        <w:t>revail</w:t>
      </w:r>
      <w:r>
        <w:rPr>
          <w:rFonts w:eastAsia="Garamond"/>
          <w:color w:val="000000"/>
          <w:sz w:val="24"/>
          <w:szCs w:val="24"/>
        </w:rPr>
        <w:t>ed</w:t>
      </w:r>
      <w:r w:rsidR="00E73F15" w:rsidRPr="000664B9">
        <w:rPr>
          <w:rFonts w:eastAsia="Garamond"/>
          <w:color w:val="000000"/>
          <w:sz w:val="24"/>
          <w:szCs w:val="24"/>
        </w:rPr>
        <w:t xml:space="preserve"> </w:t>
      </w:r>
      <w:r w:rsidR="00E73F15" w:rsidRPr="009A26B3">
        <w:rPr>
          <w:rFonts w:eastAsia="Garamond"/>
          <w:color w:val="000000"/>
          <w:spacing w:val="-2"/>
          <w:sz w:val="24"/>
          <w:szCs w:val="24"/>
        </w:rPr>
        <w:t>on</w:t>
      </w:r>
      <w:r w:rsidR="00E73F15" w:rsidRPr="000664B9">
        <w:rPr>
          <w:rFonts w:eastAsia="Garamond"/>
          <w:color w:val="000000"/>
          <w:sz w:val="24"/>
          <w:szCs w:val="24"/>
        </w:rPr>
        <w:t xml:space="preserve"> summary judgment to stop a jewelry company from using a mark which was confusingly similar to her client’s mark, despite the fact that the company claimed the mark was descriptive</w:t>
      </w:r>
      <w:r w:rsidR="00323D1F">
        <w:rPr>
          <w:rFonts w:eastAsia="Garamond"/>
          <w:color w:val="000000"/>
          <w:sz w:val="24"/>
          <w:szCs w:val="24"/>
        </w:rPr>
        <w:t>.</w:t>
      </w:r>
    </w:p>
    <w:p w14:paraId="1BCE8C91" w14:textId="471FF62C" w:rsid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D</w:t>
      </w:r>
      <w:r w:rsidR="00D91990">
        <w:rPr>
          <w:rFonts w:eastAsia="Garamond"/>
          <w:color w:val="000000"/>
          <w:sz w:val="24"/>
          <w:szCs w:val="24"/>
        </w:rPr>
        <w:t>raft</w:t>
      </w:r>
      <w:r w:rsidR="00323D1F">
        <w:rPr>
          <w:rFonts w:eastAsia="Garamond"/>
          <w:color w:val="000000"/>
          <w:sz w:val="24"/>
          <w:szCs w:val="24"/>
        </w:rPr>
        <w:t>ed</w:t>
      </w:r>
      <w:r w:rsidR="00D91990">
        <w:rPr>
          <w:rFonts w:eastAsia="Garamond"/>
          <w:color w:val="000000"/>
          <w:sz w:val="24"/>
          <w:szCs w:val="24"/>
        </w:rPr>
        <w:t xml:space="preserve"> </w:t>
      </w:r>
      <w:r w:rsidR="00E73F15" w:rsidRPr="009A26B3">
        <w:rPr>
          <w:rFonts w:eastAsia="Garamond"/>
          <w:color w:val="000000"/>
          <w:spacing w:val="-2"/>
          <w:sz w:val="24"/>
          <w:szCs w:val="24"/>
        </w:rPr>
        <w:t>sponsored</w:t>
      </w:r>
      <w:r w:rsidR="00E73F15" w:rsidRPr="000664B9">
        <w:rPr>
          <w:rFonts w:eastAsia="Garamond"/>
          <w:color w:val="000000"/>
          <w:sz w:val="24"/>
          <w:szCs w:val="24"/>
        </w:rPr>
        <w:t xml:space="preserve"> research agreements and technology license agreements for medical universities and research institutions.</w:t>
      </w:r>
    </w:p>
    <w:p w14:paraId="1AED6173" w14:textId="2BE2DFD5" w:rsidR="00D91990" w:rsidRPr="000664B9" w:rsidRDefault="000664B9" w:rsidP="009A26B3">
      <w:pPr>
        <w:numPr>
          <w:ilvl w:val="0"/>
          <w:numId w:val="1"/>
        </w:numPr>
        <w:tabs>
          <w:tab w:val="clear" w:pos="144"/>
          <w:tab w:val="left" w:pos="360"/>
        </w:tabs>
        <w:spacing w:after="60"/>
        <w:ind w:left="288" w:hanging="288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9A26B3">
        <w:rPr>
          <w:rFonts w:eastAsia="Garamond"/>
          <w:color w:val="000000"/>
          <w:spacing w:val="-2"/>
          <w:sz w:val="24"/>
          <w:szCs w:val="24"/>
        </w:rPr>
        <w:t>Negotiated</w:t>
      </w:r>
      <w:r>
        <w:rPr>
          <w:rFonts w:eastAsia="Garamond"/>
          <w:color w:val="000000"/>
          <w:sz w:val="24"/>
          <w:szCs w:val="24"/>
        </w:rPr>
        <w:t xml:space="preserve"> successful resolution in </w:t>
      </w:r>
      <w:r w:rsidR="00F10E40">
        <w:rPr>
          <w:rFonts w:eastAsia="Garamond"/>
          <w:color w:val="000000"/>
          <w:sz w:val="24"/>
          <w:szCs w:val="24"/>
        </w:rPr>
        <w:t xml:space="preserve">copyright infringement </w:t>
      </w:r>
      <w:r>
        <w:rPr>
          <w:rFonts w:eastAsia="Garamond"/>
          <w:color w:val="000000"/>
          <w:sz w:val="24"/>
          <w:szCs w:val="24"/>
        </w:rPr>
        <w:t>litigation involving</w:t>
      </w:r>
      <w:r w:rsidR="00827681">
        <w:rPr>
          <w:rFonts w:eastAsia="Garamond"/>
          <w:color w:val="000000"/>
          <w:sz w:val="24"/>
          <w:szCs w:val="24"/>
        </w:rPr>
        <w:t xml:space="preserve"> nationwide manufacturer’s </w:t>
      </w:r>
      <w:r>
        <w:rPr>
          <w:rFonts w:eastAsia="Garamond"/>
          <w:color w:val="000000"/>
          <w:sz w:val="24"/>
          <w:szCs w:val="24"/>
        </w:rPr>
        <w:t xml:space="preserve"> </w:t>
      </w:r>
      <w:r w:rsidR="00827681">
        <w:rPr>
          <w:rFonts w:eastAsia="Garamond"/>
          <w:color w:val="000000"/>
          <w:sz w:val="24"/>
          <w:szCs w:val="24"/>
        </w:rPr>
        <w:t>stuffed animal</w:t>
      </w:r>
      <w:r>
        <w:rPr>
          <w:rFonts w:eastAsia="Garamond"/>
          <w:color w:val="000000"/>
          <w:sz w:val="24"/>
          <w:szCs w:val="24"/>
        </w:rPr>
        <w:t>.</w:t>
      </w:r>
    </w:p>
    <w:p w14:paraId="2E2BC039" w14:textId="77777777" w:rsidR="00D91990" w:rsidRDefault="00D91990" w:rsidP="00D91990">
      <w:pPr>
        <w:tabs>
          <w:tab w:val="right" w:pos="10296"/>
        </w:tabs>
        <w:spacing w:line="240" w:lineRule="exact"/>
        <w:textAlignment w:val="baseline"/>
        <w:rPr>
          <w:rFonts w:eastAsia="Garamond"/>
          <w:color w:val="000000"/>
          <w:sz w:val="24"/>
          <w:szCs w:val="24"/>
        </w:rPr>
      </w:pPr>
    </w:p>
    <w:p w14:paraId="083C61BB" w14:textId="14D52D6E" w:rsidR="00D91990" w:rsidRPr="00D91990" w:rsidRDefault="00D91990" w:rsidP="00D91990">
      <w:pPr>
        <w:tabs>
          <w:tab w:val="right" w:pos="10296"/>
        </w:tabs>
        <w:spacing w:line="240" w:lineRule="exact"/>
        <w:textAlignment w:val="baseline"/>
        <w:rPr>
          <w:rFonts w:eastAsia="Garamond"/>
          <w:b/>
          <w:bCs/>
          <w:color w:val="000000"/>
          <w:sz w:val="24"/>
          <w:szCs w:val="24"/>
        </w:rPr>
      </w:pPr>
      <w:r w:rsidRPr="000664B9">
        <w:rPr>
          <w:rFonts w:eastAsia="Garamond"/>
          <w:b/>
          <w:bCs/>
          <w:color w:val="000000"/>
          <w:sz w:val="24"/>
          <w:szCs w:val="24"/>
        </w:rPr>
        <w:t>Ladas and Parr</w:t>
      </w:r>
      <w:r>
        <w:rPr>
          <w:rFonts w:eastAsia="Garamond"/>
          <w:b/>
          <w:bCs/>
          <w:color w:val="000000"/>
          <w:sz w:val="24"/>
          <w:szCs w:val="24"/>
        </w:rPr>
        <w:t>y LLP</w:t>
      </w:r>
      <w:r w:rsidRPr="00FC3F32">
        <w:rPr>
          <w:rFonts w:eastAsia="Garamond"/>
          <w:color w:val="000000"/>
          <w:sz w:val="24"/>
          <w:szCs w:val="24"/>
        </w:rPr>
        <w:t>, New York, NY</w:t>
      </w:r>
      <w:r w:rsidRPr="00FC3F32">
        <w:rPr>
          <w:rFonts w:eastAsia="Garamond"/>
          <w:color w:val="000000"/>
          <w:sz w:val="24"/>
          <w:szCs w:val="24"/>
        </w:rPr>
        <w:tab/>
      </w:r>
      <w:r w:rsidRPr="000664B9">
        <w:rPr>
          <w:rFonts w:eastAsia="Garamond"/>
          <w:b/>
          <w:bCs/>
          <w:color w:val="000000"/>
          <w:sz w:val="24"/>
          <w:szCs w:val="24"/>
        </w:rPr>
        <w:t>December 1997</w:t>
      </w:r>
      <w:r w:rsidR="000664B9">
        <w:rPr>
          <w:rFonts w:eastAsia="Garamond"/>
          <w:b/>
          <w:bCs/>
          <w:color w:val="000000"/>
          <w:sz w:val="24"/>
          <w:szCs w:val="24"/>
        </w:rPr>
        <w:t xml:space="preserve"> </w:t>
      </w:r>
      <w:r w:rsidRPr="000664B9">
        <w:rPr>
          <w:rFonts w:eastAsia="Garamond"/>
          <w:b/>
          <w:bCs/>
          <w:color w:val="000000"/>
          <w:sz w:val="24"/>
          <w:szCs w:val="24"/>
        </w:rPr>
        <w:t xml:space="preserve">- </w:t>
      </w:r>
      <w:r w:rsidRPr="00D91990">
        <w:rPr>
          <w:rFonts w:eastAsia="Garamond"/>
          <w:b/>
          <w:bCs/>
          <w:color w:val="000000"/>
          <w:sz w:val="24"/>
          <w:szCs w:val="24"/>
        </w:rPr>
        <w:t>May 1998</w:t>
      </w:r>
    </w:p>
    <w:p w14:paraId="0F7DF19E" w14:textId="33867654" w:rsidR="00D91990" w:rsidRDefault="00D91990" w:rsidP="00D91990">
      <w:pPr>
        <w:spacing w:line="240" w:lineRule="exact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  <w:r w:rsidRPr="00FC3F32">
        <w:rPr>
          <w:rFonts w:eastAsia="Garamond"/>
          <w:i/>
          <w:color w:val="000000"/>
          <w:spacing w:val="2"/>
          <w:sz w:val="24"/>
          <w:szCs w:val="24"/>
        </w:rPr>
        <w:t>Associate</w:t>
      </w:r>
    </w:p>
    <w:p w14:paraId="693403AC" w14:textId="77777777" w:rsidR="000664B9" w:rsidRDefault="000664B9" w:rsidP="00D91990">
      <w:pPr>
        <w:spacing w:line="240" w:lineRule="exact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</w:p>
    <w:p w14:paraId="21523CB2" w14:textId="6384BA22" w:rsidR="000664B9" w:rsidRPr="000664B9" w:rsidRDefault="00031AF8" w:rsidP="000664B9">
      <w:pPr>
        <w:numPr>
          <w:ilvl w:val="0"/>
          <w:numId w:val="1"/>
        </w:numPr>
        <w:tabs>
          <w:tab w:val="clear" w:pos="144"/>
          <w:tab w:val="left" w:pos="360"/>
          <w:tab w:val="num" w:pos="720"/>
        </w:tabs>
        <w:ind w:left="288" w:hanging="288"/>
        <w:jc w:val="both"/>
        <w:textAlignment w:val="baseline"/>
        <w:rPr>
          <w:rFonts w:eastAsia="Garamond"/>
          <w:iCs/>
          <w:color w:val="000000"/>
          <w:spacing w:val="2"/>
          <w:sz w:val="24"/>
          <w:szCs w:val="24"/>
        </w:rPr>
      </w:pPr>
      <w:r>
        <w:rPr>
          <w:rFonts w:eastAsia="Garamond"/>
          <w:iCs/>
          <w:color w:val="000000"/>
          <w:spacing w:val="2"/>
          <w:sz w:val="24"/>
          <w:szCs w:val="24"/>
        </w:rPr>
        <w:t>Supervised and r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>eview</w:t>
      </w:r>
      <w:r>
        <w:rPr>
          <w:rFonts w:eastAsia="Garamond"/>
          <w:iCs/>
          <w:color w:val="000000"/>
          <w:spacing w:val="2"/>
          <w:sz w:val="24"/>
          <w:szCs w:val="24"/>
        </w:rPr>
        <w:t>ed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investigator’s report </w:t>
      </w:r>
      <w:r>
        <w:rPr>
          <w:rFonts w:eastAsia="Garamond"/>
          <w:iCs/>
          <w:color w:val="000000"/>
          <w:spacing w:val="2"/>
          <w:sz w:val="24"/>
          <w:szCs w:val="24"/>
        </w:rPr>
        <w:t>into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counterfeit and/or knockoff jewelry for iconic jewelry brand</w:t>
      </w:r>
      <w:r>
        <w:rPr>
          <w:rFonts w:eastAsia="Garamond"/>
          <w:iCs/>
          <w:color w:val="000000"/>
          <w:spacing w:val="2"/>
          <w:sz w:val="24"/>
          <w:szCs w:val="24"/>
        </w:rPr>
        <w:t>.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</w:t>
      </w:r>
      <w:r>
        <w:rPr>
          <w:rFonts w:eastAsia="Garamond"/>
          <w:iCs/>
          <w:color w:val="000000"/>
          <w:spacing w:val="2"/>
          <w:sz w:val="24"/>
          <w:szCs w:val="24"/>
        </w:rPr>
        <w:t>P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>repare</w:t>
      </w:r>
      <w:r w:rsidR="00827681">
        <w:rPr>
          <w:rFonts w:eastAsia="Garamond"/>
          <w:iCs/>
          <w:color w:val="000000"/>
          <w:spacing w:val="2"/>
          <w:sz w:val="24"/>
          <w:szCs w:val="24"/>
        </w:rPr>
        <w:t>d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notice letters</w:t>
      </w:r>
      <w:r>
        <w:rPr>
          <w:rFonts w:eastAsia="Garamond"/>
          <w:iCs/>
          <w:color w:val="000000"/>
          <w:spacing w:val="2"/>
          <w:sz w:val="24"/>
          <w:szCs w:val="24"/>
        </w:rPr>
        <w:t>.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</w:t>
      </w:r>
      <w:r>
        <w:rPr>
          <w:rFonts w:eastAsia="Garamond"/>
          <w:iCs/>
          <w:color w:val="000000"/>
          <w:spacing w:val="2"/>
          <w:sz w:val="24"/>
          <w:szCs w:val="24"/>
        </w:rPr>
        <w:t>N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>egotiat</w:t>
      </w:r>
      <w:r>
        <w:rPr>
          <w:rFonts w:eastAsia="Garamond"/>
          <w:iCs/>
          <w:color w:val="000000"/>
          <w:spacing w:val="2"/>
          <w:sz w:val="24"/>
          <w:szCs w:val="24"/>
        </w:rPr>
        <w:t>ed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settlements.</w:t>
      </w:r>
    </w:p>
    <w:p w14:paraId="4DA50C41" w14:textId="57C7C0A4" w:rsidR="000664B9" w:rsidRPr="000664B9" w:rsidRDefault="00031AF8" w:rsidP="000664B9">
      <w:pPr>
        <w:numPr>
          <w:ilvl w:val="0"/>
          <w:numId w:val="1"/>
        </w:numPr>
        <w:tabs>
          <w:tab w:val="clear" w:pos="144"/>
          <w:tab w:val="left" w:pos="360"/>
          <w:tab w:val="num" w:pos="720"/>
        </w:tabs>
        <w:ind w:left="288" w:hanging="288"/>
        <w:jc w:val="both"/>
        <w:textAlignment w:val="baseline"/>
        <w:rPr>
          <w:rFonts w:eastAsia="Garamond"/>
          <w:iCs/>
          <w:color w:val="000000"/>
          <w:spacing w:val="2"/>
          <w:sz w:val="24"/>
          <w:szCs w:val="24"/>
        </w:rPr>
      </w:pPr>
      <w:r>
        <w:rPr>
          <w:rFonts w:eastAsia="Garamond"/>
          <w:iCs/>
          <w:color w:val="000000"/>
          <w:spacing w:val="2"/>
          <w:sz w:val="24"/>
          <w:szCs w:val="24"/>
        </w:rPr>
        <w:t>Drafted and filed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 xml:space="preserve"> </w:t>
      </w:r>
      <w:r w:rsidR="000664B9">
        <w:rPr>
          <w:rFonts w:eastAsia="Garamond"/>
          <w:iCs/>
          <w:color w:val="000000"/>
          <w:spacing w:val="2"/>
          <w:sz w:val="24"/>
          <w:szCs w:val="24"/>
        </w:rPr>
        <w:t xml:space="preserve">trademark </w:t>
      </w:r>
      <w:r w:rsidR="000664B9" w:rsidRPr="000664B9">
        <w:rPr>
          <w:rFonts w:eastAsia="Garamond"/>
          <w:iCs/>
          <w:color w:val="000000"/>
          <w:spacing w:val="2"/>
          <w:sz w:val="24"/>
          <w:szCs w:val="24"/>
        </w:rPr>
        <w:t>complaints for federal litigation</w:t>
      </w:r>
      <w:r w:rsidR="000664B9">
        <w:rPr>
          <w:rFonts w:eastAsia="Garamond"/>
          <w:iCs/>
          <w:color w:val="000000"/>
          <w:spacing w:val="2"/>
          <w:sz w:val="24"/>
          <w:szCs w:val="24"/>
        </w:rPr>
        <w:t>.</w:t>
      </w:r>
    </w:p>
    <w:p w14:paraId="6A066434" w14:textId="77777777" w:rsidR="000664B9" w:rsidRDefault="000664B9" w:rsidP="000664B9">
      <w:pPr>
        <w:tabs>
          <w:tab w:val="left" w:pos="144"/>
          <w:tab w:val="left" w:pos="360"/>
        </w:tabs>
        <w:jc w:val="both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</w:p>
    <w:p w14:paraId="1E060771" w14:textId="3C2E3575" w:rsidR="000664B9" w:rsidRPr="00D91990" w:rsidRDefault="000664B9" w:rsidP="000664B9">
      <w:pPr>
        <w:tabs>
          <w:tab w:val="right" w:pos="10296"/>
        </w:tabs>
        <w:spacing w:line="240" w:lineRule="exact"/>
        <w:textAlignment w:val="baseline"/>
        <w:rPr>
          <w:rFonts w:eastAsia="Garamond"/>
          <w:b/>
          <w:bCs/>
          <w:color w:val="000000"/>
          <w:sz w:val="24"/>
          <w:szCs w:val="24"/>
        </w:rPr>
      </w:pPr>
      <w:r>
        <w:rPr>
          <w:rFonts w:eastAsia="Garamond"/>
          <w:b/>
          <w:bCs/>
          <w:color w:val="000000"/>
          <w:sz w:val="24"/>
          <w:szCs w:val="24"/>
        </w:rPr>
        <w:t>Rudolph &amp; Beer, LLP</w:t>
      </w:r>
      <w:r w:rsidRPr="00FC3F32">
        <w:rPr>
          <w:rFonts w:eastAsia="Garamond"/>
          <w:color w:val="000000"/>
          <w:sz w:val="24"/>
          <w:szCs w:val="24"/>
        </w:rPr>
        <w:t>, New York, NY</w:t>
      </w:r>
      <w:r w:rsidRPr="00FC3F32">
        <w:rPr>
          <w:rFonts w:eastAsia="Garamond"/>
          <w:color w:val="000000"/>
          <w:sz w:val="24"/>
          <w:szCs w:val="24"/>
        </w:rPr>
        <w:tab/>
      </w:r>
      <w:r>
        <w:rPr>
          <w:rFonts w:eastAsia="Garamond"/>
          <w:b/>
          <w:bCs/>
          <w:color w:val="000000"/>
          <w:sz w:val="24"/>
          <w:szCs w:val="24"/>
        </w:rPr>
        <w:t>September</w:t>
      </w:r>
      <w:r w:rsidRPr="00FC3F32">
        <w:rPr>
          <w:rFonts w:eastAsia="Garamond"/>
          <w:b/>
          <w:bCs/>
          <w:color w:val="000000"/>
          <w:sz w:val="24"/>
          <w:szCs w:val="24"/>
        </w:rPr>
        <w:t xml:space="preserve"> 199</w:t>
      </w:r>
      <w:r>
        <w:rPr>
          <w:rFonts w:eastAsia="Garamond"/>
          <w:b/>
          <w:bCs/>
          <w:color w:val="000000"/>
          <w:sz w:val="24"/>
          <w:szCs w:val="24"/>
        </w:rPr>
        <w:t xml:space="preserve">4 </w:t>
      </w:r>
      <w:r w:rsidRPr="00FC3F32">
        <w:rPr>
          <w:rFonts w:eastAsia="Garamond"/>
          <w:b/>
          <w:bCs/>
          <w:color w:val="000000"/>
          <w:sz w:val="24"/>
          <w:szCs w:val="24"/>
        </w:rPr>
        <w:t xml:space="preserve">- </w:t>
      </w:r>
      <w:r>
        <w:rPr>
          <w:rFonts w:eastAsia="Garamond"/>
          <w:b/>
          <w:bCs/>
          <w:color w:val="000000"/>
          <w:sz w:val="24"/>
          <w:szCs w:val="24"/>
        </w:rPr>
        <w:t>December</w:t>
      </w:r>
      <w:r w:rsidRPr="00D91990">
        <w:rPr>
          <w:rFonts w:eastAsia="Garamond"/>
          <w:b/>
          <w:bCs/>
          <w:color w:val="000000"/>
          <w:sz w:val="24"/>
          <w:szCs w:val="24"/>
        </w:rPr>
        <w:t xml:space="preserve"> 199</w:t>
      </w:r>
      <w:r>
        <w:rPr>
          <w:rFonts w:eastAsia="Garamond"/>
          <w:b/>
          <w:bCs/>
          <w:color w:val="000000"/>
          <w:sz w:val="24"/>
          <w:szCs w:val="24"/>
        </w:rPr>
        <w:t>7</w:t>
      </w:r>
    </w:p>
    <w:p w14:paraId="68582E59" w14:textId="5BB5C037" w:rsidR="000664B9" w:rsidRDefault="00031AF8" w:rsidP="000664B9">
      <w:pPr>
        <w:spacing w:line="240" w:lineRule="exact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  <w:r>
        <w:rPr>
          <w:rFonts w:eastAsia="Garamond"/>
          <w:i/>
          <w:color w:val="000000"/>
          <w:spacing w:val="2"/>
          <w:sz w:val="24"/>
          <w:szCs w:val="24"/>
        </w:rPr>
        <w:t>Law S</w:t>
      </w:r>
      <w:r w:rsidR="00F10E40">
        <w:rPr>
          <w:rFonts w:eastAsia="Garamond"/>
          <w:i/>
          <w:color w:val="000000"/>
          <w:spacing w:val="2"/>
          <w:sz w:val="24"/>
          <w:szCs w:val="24"/>
        </w:rPr>
        <w:t>tudent</w:t>
      </w:r>
      <w:r>
        <w:rPr>
          <w:rFonts w:eastAsia="Garamond"/>
          <w:i/>
          <w:color w:val="000000"/>
          <w:spacing w:val="2"/>
          <w:sz w:val="24"/>
          <w:szCs w:val="24"/>
        </w:rPr>
        <w:t xml:space="preserve"> </w:t>
      </w:r>
      <w:r w:rsidR="000664B9">
        <w:rPr>
          <w:rFonts w:eastAsia="Garamond"/>
          <w:i/>
          <w:color w:val="000000"/>
          <w:spacing w:val="2"/>
          <w:sz w:val="24"/>
          <w:szCs w:val="24"/>
        </w:rPr>
        <w:t xml:space="preserve">Intern, </w:t>
      </w:r>
      <w:r w:rsidR="000664B9" w:rsidRPr="00FC3F32">
        <w:rPr>
          <w:rFonts w:eastAsia="Garamond"/>
          <w:i/>
          <w:color w:val="000000"/>
          <w:spacing w:val="2"/>
          <w:sz w:val="24"/>
          <w:szCs w:val="24"/>
        </w:rPr>
        <w:t>Associate</w:t>
      </w:r>
    </w:p>
    <w:p w14:paraId="1B92C961" w14:textId="77777777" w:rsidR="000664B9" w:rsidRPr="000664B9" w:rsidRDefault="000664B9" w:rsidP="000664B9">
      <w:pPr>
        <w:tabs>
          <w:tab w:val="left" w:pos="144"/>
          <w:tab w:val="left" w:pos="360"/>
        </w:tabs>
        <w:jc w:val="both"/>
        <w:textAlignment w:val="baseline"/>
        <w:rPr>
          <w:rFonts w:eastAsia="Garamond"/>
          <w:i/>
          <w:color w:val="000000"/>
          <w:spacing w:val="2"/>
          <w:sz w:val="24"/>
          <w:szCs w:val="24"/>
        </w:rPr>
      </w:pPr>
    </w:p>
    <w:p w14:paraId="5C60977D" w14:textId="264DF82F" w:rsidR="000664B9" w:rsidRDefault="00031AF8" w:rsidP="000664B9">
      <w:pPr>
        <w:numPr>
          <w:ilvl w:val="0"/>
          <w:numId w:val="1"/>
        </w:numPr>
        <w:tabs>
          <w:tab w:val="clear" w:pos="144"/>
          <w:tab w:val="left" w:pos="360"/>
          <w:tab w:val="num" w:pos="720"/>
        </w:tabs>
        <w:ind w:left="288" w:hanging="28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265434">
        <w:rPr>
          <w:sz w:val="24"/>
          <w:szCs w:val="24"/>
        </w:rPr>
        <w:t>rovid</w:t>
      </w:r>
      <w:r>
        <w:rPr>
          <w:sz w:val="24"/>
          <w:szCs w:val="24"/>
        </w:rPr>
        <w:t>ed</w:t>
      </w:r>
      <w:r w:rsidR="00265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extensive </w:t>
      </w:r>
      <w:r w:rsidR="00265434">
        <w:rPr>
          <w:sz w:val="24"/>
          <w:szCs w:val="24"/>
        </w:rPr>
        <w:t xml:space="preserve">legal </w:t>
      </w:r>
      <w:r w:rsidR="00C4020E">
        <w:rPr>
          <w:sz w:val="24"/>
          <w:szCs w:val="24"/>
        </w:rPr>
        <w:t>counsel</w:t>
      </w:r>
      <w:r w:rsidR="00265434">
        <w:rPr>
          <w:sz w:val="24"/>
          <w:szCs w:val="24"/>
        </w:rPr>
        <w:t xml:space="preserve"> for</w:t>
      </w:r>
      <w:r w:rsidR="000664B9">
        <w:rPr>
          <w:sz w:val="24"/>
          <w:szCs w:val="24"/>
        </w:rPr>
        <w:t xml:space="preserve"> independent films, </w:t>
      </w:r>
      <w:r w:rsidR="000664B9" w:rsidRPr="000664B9">
        <w:rPr>
          <w:sz w:val="24"/>
          <w:szCs w:val="24"/>
        </w:rPr>
        <w:t xml:space="preserve">including negotiating </w:t>
      </w:r>
      <w:r>
        <w:rPr>
          <w:sz w:val="24"/>
          <w:szCs w:val="24"/>
        </w:rPr>
        <w:t xml:space="preserve">and drafting </w:t>
      </w:r>
      <w:r w:rsidR="000664B9" w:rsidRPr="000664B9">
        <w:rPr>
          <w:sz w:val="24"/>
          <w:szCs w:val="24"/>
        </w:rPr>
        <w:t>production, director and talent agreements and options for screenplays</w:t>
      </w:r>
      <w:r w:rsidR="000664B9">
        <w:rPr>
          <w:sz w:val="24"/>
          <w:szCs w:val="24"/>
        </w:rPr>
        <w:t>.</w:t>
      </w:r>
    </w:p>
    <w:p w14:paraId="58FC1A34" w14:textId="04416ADA" w:rsidR="000664B9" w:rsidRPr="000664B9" w:rsidRDefault="00031AF8" w:rsidP="000664B9">
      <w:pPr>
        <w:numPr>
          <w:ilvl w:val="0"/>
          <w:numId w:val="1"/>
        </w:numPr>
        <w:tabs>
          <w:tab w:val="clear" w:pos="144"/>
          <w:tab w:val="left" w:pos="360"/>
          <w:tab w:val="num" w:pos="720"/>
        </w:tabs>
        <w:ind w:left="288" w:hanging="28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Successfully </w:t>
      </w:r>
      <w:r w:rsidR="00827681">
        <w:rPr>
          <w:sz w:val="24"/>
          <w:szCs w:val="24"/>
        </w:rPr>
        <w:t>settl</w:t>
      </w:r>
      <w:r>
        <w:rPr>
          <w:sz w:val="24"/>
          <w:szCs w:val="24"/>
        </w:rPr>
        <w:t>ed</w:t>
      </w:r>
      <w:r w:rsidR="000664B9">
        <w:rPr>
          <w:sz w:val="24"/>
          <w:szCs w:val="24"/>
        </w:rPr>
        <w:t xml:space="preserve"> </w:t>
      </w:r>
      <w:r w:rsidR="000664B9" w:rsidRPr="000664B9">
        <w:rPr>
          <w:sz w:val="24"/>
          <w:szCs w:val="24"/>
        </w:rPr>
        <w:t xml:space="preserve">right of publicity </w:t>
      </w:r>
      <w:r>
        <w:rPr>
          <w:sz w:val="24"/>
          <w:szCs w:val="24"/>
        </w:rPr>
        <w:t>action</w:t>
      </w:r>
      <w:r w:rsidR="000664B9">
        <w:rPr>
          <w:sz w:val="24"/>
          <w:szCs w:val="24"/>
        </w:rPr>
        <w:t xml:space="preserve"> involving unauthorized use of client’s image in </w:t>
      </w:r>
      <w:r w:rsidR="00827681">
        <w:rPr>
          <w:sz w:val="24"/>
          <w:szCs w:val="24"/>
        </w:rPr>
        <w:t xml:space="preserve">major network </w:t>
      </w:r>
      <w:r w:rsidR="000664B9">
        <w:rPr>
          <w:sz w:val="24"/>
          <w:szCs w:val="24"/>
        </w:rPr>
        <w:t>television show.</w:t>
      </w:r>
    </w:p>
    <w:p w14:paraId="0FBCD5FE" w14:textId="77777777" w:rsidR="0029650C" w:rsidRPr="00F77EDE" w:rsidRDefault="0029650C" w:rsidP="006201C9">
      <w:pPr>
        <w:tabs>
          <w:tab w:val="left" w:pos="144"/>
          <w:tab w:val="left" w:pos="360"/>
        </w:tabs>
        <w:ind w:left="288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</w:p>
    <w:p w14:paraId="079C1CF3" w14:textId="05110A37" w:rsidR="00FE6F81" w:rsidRPr="000664B9" w:rsidRDefault="0029650C" w:rsidP="00573B4D">
      <w:pPr>
        <w:pBdr>
          <w:bottom w:val="single" w:sz="12" w:space="1" w:color="auto"/>
        </w:pBdr>
        <w:spacing w:line="240" w:lineRule="exact"/>
        <w:textAlignment w:val="baseline"/>
        <w:rPr>
          <w:rFonts w:eastAsia="Garamond"/>
          <w:b/>
          <w:smallCaps/>
          <w:color w:val="000000"/>
          <w:sz w:val="24"/>
          <w:szCs w:val="24"/>
        </w:rPr>
      </w:pPr>
      <w:r w:rsidRPr="000664B9">
        <w:rPr>
          <w:rFonts w:eastAsia="Garamond"/>
          <w:b/>
          <w:smallCaps/>
          <w:color w:val="000000"/>
          <w:sz w:val="24"/>
          <w:szCs w:val="24"/>
        </w:rPr>
        <w:t>Education</w:t>
      </w:r>
    </w:p>
    <w:p w14:paraId="4563D088" w14:textId="6F8E052C" w:rsidR="0086418D" w:rsidRPr="000664B9" w:rsidRDefault="00E23E4E" w:rsidP="009A26B3">
      <w:pPr>
        <w:spacing w:line="240" w:lineRule="exact"/>
        <w:textAlignment w:val="baseline"/>
        <w:rPr>
          <w:rFonts w:eastAsia="Garamond"/>
          <w:smallCaps/>
          <w:color w:val="000000"/>
          <w:sz w:val="24"/>
          <w:szCs w:val="24"/>
        </w:rPr>
      </w:pPr>
      <w:r w:rsidRPr="000664B9">
        <w:rPr>
          <w:rFonts w:eastAsia="Garamond"/>
          <w:b/>
          <w:smallCaps/>
          <w:color w:val="000000"/>
          <w:sz w:val="24"/>
          <w:szCs w:val="24"/>
        </w:rPr>
        <w:t>B</w:t>
      </w:r>
      <w:r w:rsidR="00877F08" w:rsidRPr="000664B9">
        <w:rPr>
          <w:rFonts w:eastAsia="Garamond"/>
          <w:b/>
          <w:smallCaps/>
          <w:color w:val="000000"/>
          <w:sz w:val="24"/>
          <w:szCs w:val="24"/>
        </w:rPr>
        <w:t>rooklyn law school</w:t>
      </w:r>
      <w:r w:rsidRPr="000664B9">
        <w:rPr>
          <w:rFonts w:eastAsia="Garamond"/>
          <w:smallCaps/>
          <w:color w:val="000000"/>
          <w:sz w:val="24"/>
          <w:szCs w:val="24"/>
        </w:rPr>
        <w:t xml:space="preserve">, </w:t>
      </w:r>
      <w:r w:rsidR="00877F08" w:rsidRPr="000664B9">
        <w:rPr>
          <w:rFonts w:eastAsia="Garamond"/>
          <w:color w:val="000000"/>
          <w:sz w:val="24"/>
          <w:szCs w:val="24"/>
        </w:rPr>
        <w:t>Brooklyn</w:t>
      </w:r>
      <w:r w:rsidRPr="000664B9">
        <w:rPr>
          <w:rFonts w:eastAsia="Garamond"/>
          <w:color w:val="000000"/>
          <w:sz w:val="24"/>
          <w:szCs w:val="24"/>
        </w:rPr>
        <w:t>, NY</w:t>
      </w:r>
      <w:r w:rsidR="000664B9">
        <w:rPr>
          <w:rFonts w:eastAsia="Garamond"/>
          <w:color w:val="000000"/>
          <w:sz w:val="24"/>
          <w:szCs w:val="24"/>
        </w:rPr>
        <w:t>, J.D. (1995)</w:t>
      </w:r>
    </w:p>
    <w:p w14:paraId="45693830" w14:textId="77777777" w:rsidR="00B25677" w:rsidRPr="000664B9" w:rsidRDefault="00B25677" w:rsidP="00B25677">
      <w:pPr>
        <w:spacing w:line="240" w:lineRule="exact"/>
        <w:ind w:left="90"/>
        <w:textAlignment w:val="baseline"/>
        <w:rPr>
          <w:rFonts w:eastAsia="Garamond"/>
          <w:b/>
          <w:color w:val="000000"/>
          <w:sz w:val="24"/>
          <w:szCs w:val="24"/>
        </w:rPr>
      </w:pPr>
    </w:p>
    <w:p w14:paraId="78265815" w14:textId="46E26A98" w:rsidR="000B19FA" w:rsidRPr="000664B9" w:rsidRDefault="00B25677" w:rsidP="009A26B3">
      <w:pPr>
        <w:spacing w:line="240" w:lineRule="exact"/>
        <w:rPr>
          <w:b/>
          <w:sz w:val="24"/>
          <w:szCs w:val="24"/>
        </w:rPr>
      </w:pPr>
      <w:r w:rsidRPr="000664B9">
        <w:rPr>
          <w:rFonts w:eastAsia="Garamond"/>
          <w:b/>
          <w:smallCaps/>
          <w:color w:val="000000"/>
          <w:sz w:val="24"/>
          <w:szCs w:val="24"/>
        </w:rPr>
        <w:t>University of Michigan</w:t>
      </w:r>
      <w:r w:rsidR="00E04FED" w:rsidRPr="000664B9">
        <w:rPr>
          <w:rFonts w:eastAsia="Garamond"/>
          <w:bCs/>
          <w:smallCaps/>
          <w:color w:val="000000"/>
          <w:sz w:val="24"/>
          <w:szCs w:val="24"/>
        </w:rPr>
        <w:t xml:space="preserve">, </w:t>
      </w:r>
      <w:r w:rsidRPr="000664B9">
        <w:rPr>
          <w:rFonts w:eastAsia="Garamond"/>
          <w:color w:val="000000"/>
          <w:sz w:val="24"/>
          <w:szCs w:val="24"/>
        </w:rPr>
        <w:t>Ann Arbor, Michigan</w:t>
      </w:r>
      <w:r w:rsidR="000664B9">
        <w:rPr>
          <w:b/>
          <w:sz w:val="24"/>
          <w:szCs w:val="24"/>
        </w:rPr>
        <w:t xml:space="preserve">, </w:t>
      </w:r>
      <w:r w:rsidR="00E04FED" w:rsidRPr="000664B9">
        <w:rPr>
          <w:rFonts w:eastAsia="Garamond"/>
          <w:i/>
          <w:color w:val="000000"/>
          <w:sz w:val="24"/>
          <w:szCs w:val="24"/>
        </w:rPr>
        <w:t>Bachelor of Arts</w:t>
      </w:r>
      <w:r w:rsidR="00E04FED" w:rsidRPr="000664B9">
        <w:rPr>
          <w:rFonts w:eastAsia="Garamond"/>
          <w:color w:val="000000"/>
          <w:sz w:val="24"/>
          <w:szCs w:val="24"/>
        </w:rPr>
        <w:t>, English</w:t>
      </w:r>
      <w:r w:rsidR="000664B9">
        <w:rPr>
          <w:rFonts w:eastAsia="Garamond"/>
          <w:color w:val="000000"/>
          <w:sz w:val="24"/>
          <w:szCs w:val="24"/>
        </w:rPr>
        <w:t xml:space="preserve"> (1991)</w:t>
      </w:r>
    </w:p>
    <w:p w14:paraId="4E7243B6" w14:textId="03B0CB8A" w:rsidR="006E70B3" w:rsidRPr="00F77EDE" w:rsidRDefault="006E70B3" w:rsidP="0029650C">
      <w:pPr>
        <w:tabs>
          <w:tab w:val="left" w:pos="0"/>
        </w:tabs>
        <w:rPr>
          <w:sz w:val="20"/>
          <w:szCs w:val="20"/>
        </w:rPr>
      </w:pPr>
    </w:p>
    <w:p w14:paraId="4CC77CF9" w14:textId="6513D339" w:rsidR="006E70B3" w:rsidRPr="000664B9" w:rsidRDefault="0029650C" w:rsidP="00573B4D">
      <w:pPr>
        <w:pBdr>
          <w:bottom w:val="single" w:sz="12" w:space="1" w:color="auto"/>
        </w:pBdr>
        <w:tabs>
          <w:tab w:val="left" w:pos="0"/>
        </w:tabs>
        <w:spacing w:line="240" w:lineRule="exact"/>
        <w:rPr>
          <w:b/>
          <w:bCs/>
          <w:smallCaps/>
          <w:sz w:val="24"/>
          <w:szCs w:val="24"/>
        </w:rPr>
      </w:pPr>
      <w:r w:rsidRPr="000664B9">
        <w:rPr>
          <w:b/>
          <w:bCs/>
          <w:smallCaps/>
          <w:sz w:val="24"/>
          <w:szCs w:val="24"/>
        </w:rPr>
        <w:t>Bar and Court Admissions</w:t>
      </w:r>
    </w:p>
    <w:p w14:paraId="51E3AB76" w14:textId="0E71D471" w:rsidR="006E70B3" w:rsidRPr="000664B9" w:rsidRDefault="006E70B3" w:rsidP="00573B4D">
      <w:pPr>
        <w:tabs>
          <w:tab w:val="left" w:pos="180"/>
        </w:tabs>
        <w:spacing w:line="240" w:lineRule="exact"/>
        <w:ind w:left="90"/>
        <w:rPr>
          <w:sz w:val="24"/>
          <w:szCs w:val="24"/>
        </w:rPr>
      </w:pPr>
      <w:r w:rsidRPr="000664B9">
        <w:rPr>
          <w:sz w:val="24"/>
          <w:szCs w:val="24"/>
        </w:rPr>
        <w:t>New York State Bar</w:t>
      </w:r>
    </w:p>
    <w:p w14:paraId="271C10C8" w14:textId="4DC4CA44" w:rsidR="00A646AE" w:rsidRPr="000664B9" w:rsidRDefault="006E70B3" w:rsidP="009A26B3">
      <w:pPr>
        <w:tabs>
          <w:tab w:val="left" w:pos="180"/>
        </w:tabs>
        <w:spacing w:after="60"/>
        <w:ind w:left="86"/>
        <w:rPr>
          <w:sz w:val="24"/>
          <w:szCs w:val="24"/>
        </w:rPr>
      </w:pPr>
      <w:r w:rsidRPr="000664B9">
        <w:rPr>
          <w:sz w:val="24"/>
          <w:szCs w:val="24"/>
        </w:rPr>
        <w:t>U.S. District Court for the Southern District of New York</w:t>
      </w:r>
    </w:p>
    <w:p w14:paraId="2C0956FC" w14:textId="77777777" w:rsidR="000664B9" w:rsidRPr="00F77EDE" w:rsidRDefault="000664B9" w:rsidP="009A26B3">
      <w:pPr>
        <w:pBdr>
          <w:bottom w:val="single" w:sz="12" w:space="1" w:color="auto"/>
        </w:pBdr>
        <w:tabs>
          <w:tab w:val="left" w:pos="0"/>
        </w:tabs>
        <w:rPr>
          <w:b/>
          <w:bCs/>
          <w:smallCaps/>
          <w:sz w:val="20"/>
          <w:szCs w:val="20"/>
        </w:rPr>
      </w:pPr>
    </w:p>
    <w:p w14:paraId="5E910869" w14:textId="7E1F3C7D" w:rsidR="000664B9" w:rsidRPr="009A26B3" w:rsidRDefault="000664B9" w:rsidP="009A26B3">
      <w:pPr>
        <w:pBdr>
          <w:bottom w:val="single" w:sz="12" w:space="1" w:color="auto"/>
        </w:pBdr>
        <w:spacing w:line="240" w:lineRule="exact"/>
        <w:textAlignment w:val="baseline"/>
        <w:rPr>
          <w:rFonts w:eastAsia="Garamond"/>
          <w:b/>
          <w:smallCaps/>
          <w:color w:val="000000"/>
          <w:sz w:val="24"/>
          <w:szCs w:val="24"/>
          <w:u w:val="single"/>
        </w:rPr>
      </w:pPr>
      <w:r w:rsidRPr="009A26B3">
        <w:rPr>
          <w:rFonts w:eastAsia="Garamond"/>
          <w:b/>
          <w:smallCaps/>
          <w:color w:val="000000"/>
          <w:sz w:val="24"/>
          <w:szCs w:val="24"/>
          <w:u w:val="single"/>
        </w:rPr>
        <w:t>Professional Activities and publications</w:t>
      </w:r>
      <w:r w:rsidR="009A26B3">
        <w:rPr>
          <w:rFonts w:eastAsia="Garamond"/>
          <w:b/>
          <w:smallCaps/>
          <w:color w:val="000000"/>
          <w:sz w:val="24"/>
          <w:szCs w:val="24"/>
          <w:u w:val="single"/>
        </w:rPr>
        <w:t>_______________________________________________</w:t>
      </w:r>
    </w:p>
    <w:p w14:paraId="256E8136" w14:textId="0C68AAA4" w:rsidR="000664B9" w:rsidRDefault="00827681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 xml:space="preserve">Led </w:t>
      </w:r>
      <w:r w:rsidR="000664B9">
        <w:rPr>
          <w:rFonts w:eastAsia="Garamond"/>
          <w:color w:val="000000"/>
          <w:sz w:val="24"/>
          <w:szCs w:val="24"/>
        </w:rPr>
        <w:t>Amster, Rothstein &amp; Ebenstein’s</w:t>
      </w:r>
      <w:r w:rsidR="0091335A">
        <w:rPr>
          <w:rFonts w:eastAsia="Garamond"/>
          <w:color w:val="000000"/>
          <w:sz w:val="24"/>
          <w:szCs w:val="24"/>
        </w:rPr>
        <w:t xml:space="preserve"> </w:t>
      </w:r>
      <w:r w:rsidR="000664B9" w:rsidRPr="000664B9">
        <w:rPr>
          <w:rFonts w:eastAsia="Garamond"/>
          <w:color w:val="000000"/>
          <w:sz w:val="24"/>
          <w:szCs w:val="24"/>
        </w:rPr>
        <w:t>Women</w:t>
      </w:r>
      <w:r w:rsidR="000664B9">
        <w:rPr>
          <w:rFonts w:eastAsia="Garamond"/>
          <w:color w:val="000000"/>
          <w:sz w:val="24"/>
          <w:szCs w:val="24"/>
        </w:rPr>
        <w:t>’</w:t>
      </w:r>
      <w:r w:rsidR="000664B9" w:rsidRPr="000664B9">
        <w:rPr>
          <w:rFonts w:eastAsia="Garamond"/>
          <w:color w:val="000000"/>
          <w:sz w:val="24"/>
          <w:szCs w:val="24"/>
        </w:rPr>
        <w:t>s Initiatives Group</w:t>
      </w:r>
      <w:r w:rsidR="000664B9">
        <w:rPr>
          <w:rFonts w:eastAsia="Garamond"/>
          <w:color w:val="000000"/>
          <w:sz w:val="24"/>
          <w:szCs w:val="24"/>
        </w:rPr>
        <w:t xml:space="preserve"> (2017-2020)</w:t>
      </w:r>
    </w:p>
    <w:p w14:paraId="04484BC9" w14:textId="72D718D5" w:rsidR="00F0313E" w:rsidRPr="000664B9" w:rsidRDefault="00F0313E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r w:rsidRPr="000664B9">
        <w:rPr>
          <w:sz w:val="24"/>
          <w:szCs w:val="24"/>
        </w:rPr>
        <w:t>“</w:t>
      </w:r>
      <w:r w:rsidRPr="009A26B3">
        <w:rPr>
          <w:rFonts w:eastAsia="Garamond"/>
          <w:color w:val="000000"/>
          <w:sz w:val="24"/>
          <w:szCs w:val="24"/>
        </w:rPr>
        <w:t>Protecting</w:t>
      </w:r>
      <w:r w:rsidRPr="000664B9">
        <w:rPr>
          <w:sz w:val="24"/>
          <w:szCs w:val="24"/>
        </w:rPr>
        <w:t xml:space="preserve"> Your Brand: Trademark Basics,” </w:t>
      </w:r>
      <w:r w:rsidRPr="000664B9">
        <w:rPr>
          <w:i/>
          <w:iCs/>
          <w:sz w:val="24"/>
          <w:szCs w:val="24"/>
        </w:rPr>
        <w:t>Westchester Lawyer Magazine</w:t>
      </w:r>
      <w:r w:rsidRPr="000664B9">
        <w:rPr>
          <w:sz w:val="24"/>
          <w:szCs w:val="24"/>
        </w:rPr>
        <w:t xml:space="preserve"> (January 2025)</w:t>
      </w:r>
    </w:p>
    <w:p w14:paraId="058ECBBA" w14:textId="5CF51E15" w:rsidR="00F0313E" w:rsidRPr="000664B9" w:rsidRDefault="00D83631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r w:rsidRPr="000664B9">
        <w:rPr>
          <w:sz w:val="24"/>
          <w:szCs w:val="24"/>
        </w:rPr>
        <w:t>“</w:t>
      </w:r>
      <w:r w:rsidR="00F0313E" w:rsidRPr="009A26B3">
        <w:rPr>
          <w:rFonts w:eastAsia="Garamond"/>
          <w:color w:val="000000"/>
          <w:sz w:val="24"/>
          <w:szCs w:val="24"/>
        </w:rPr>
        <w:t>Tiffany</w:t>
      </w:r>
      <w:r w:rsidR="00F0313E" w:rsidRPr="000664B9">
        <w:rPr>
          <w:sz w:val="24"/>
          <w:szCs w:val="24"/>
        </w:rPr>
        <w:t xml:space="preserve"> (NJ) Inc. v. eBay Inc.: Guidelines for Online Retailers to Police Third Party Sales of Counterfeit Goods</w:t>
      </w:r>
      <w:r w:rsidR="000664B9">
        <w:rPr>
          <w:sz w:val="24"/>
          <w:szCs w:val="24"/>
        </w:rPr>
        <w:t>,</w:t>
      </w:r>
      <w:r w:rsidRPr="000664B9">
        <w:rPr>
          <w:sz w:val="24"/>
          <w:szCs w:val="24"/>
        </w:rPr>
        <w:t>”</w:t>
      </w:r>
      <w:r w:rsidR="000664B9">
        <w:rPr>
          <w:sz w:val="24"/>
          <w:szCs w:val="24"/>
        </w:rPr>
        <w:t xml:space="preserve"> </w:t>
      </w:r>
      <w:r w:rsidR="00F0313E" w:rsidRPr="000664B9">
        <w:rPr>
          <w:i/>
          <w:iCs/>
          <w:sz w:val="24"/>
          <w:szCs w:val="24"/>
        </w:rPr>
        <w:t>Common Law Journal</w:t>
      </w:r>
      <w:r w:rsidR="00F0313E" w:rsidRPr="000664B9">
        <w:rPr>
          <w:sz w:val="24"/>
          <w:szCs w:val="24"/>
        </w:rPr>
        <w:t>, July 29, 2008</w:t>
      </w:r>
    </w:p>
    <w:p w14:paraId="0C7CB85D" w14:textId="165479D7" w:rsidR="00F0313E" w:rsidRDefault="00D83631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r w:rsidRPr="000664B9">
        <w:rPr>
          <w:sz w:val="24"/>
          <w:szCs w:val="24"/>
        </w:rPr>
        <w:t>“</w:t>
      </w:r>
      <w:r w:rsidR="00F0313E" w:rsidRPr="009A26B3">
        <w:rPr>
          <w:rFonts w:eastAsia="Garamond"/>
          <w:color w:val="000000"/>
          <w:sz w:val="24"/>
          <w:szCs w:val="24"/>
        </w:rPr>
        <w:t>Tiffany</w:t>
      </w:r>
      <w:r w:rsidR="00F0313E" w:rsidRPr="000664B9">
        <w:rPr>
          <w:sz w:val="24"/>
          <w:szCs w:val="24"/>
        </w:rPr>
        <w:t xml:space="preserve"> v. eBay: Trademark Owners Beware</w:t>
      </w:r>
      <w:r w:rsidR="000664B9">
        <w:rPr>
          <w:sz w:val="24"/>
          <w:szCs w:val="24"/>
        </w:rPr>
        <w:t>,</w:t>
      </w:r>
      <w:r w:rsidRPr="000664B9">
        <w:rPr>
          <w:sz w:val="24"/>
          <w:szCs w:val="24"/>
        </w:rPr>
        <w:t>”</w:t>
      </w:r>
      <w:r w:rsidR="00C4020E">
        <w:rPr>
          <w:sz w:val="24"/>
          <w:szCs w:val="24"/>
        </w:rPr>
        <w:t xml:space="preserve"> </w:t>
      </w:r>
      <w:r w:rsidR="00F0313E" w:rsidRPr="000664B9">
        <w:rPr>
          <w:i/>
          <w:iCs/>
          <w:sz w:val="24"/>
          <w:szCs w:val="24"/>
        </w:rPr>
        <w:t>IP Law360</w:t>
      </w:r>
      <w:r w:rsidR="00F0313E" w:rsidRPr="000664B9">
        <w:rPr>
          <w:sz w:val="24"/>
          <w:szCs w:val="24"/>
        </w:rPr>
        <w:t>, July 16, 2008</w:t>
      </w:r>
    </w:p>
    <w:p w14:paraId="4D8466F4" w14:textId="40E0A3E2" w:rsidR="000664B9" w:rsidRDefault="000664B9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r>
        <w:rPr>
          <w:sz w:val="24"/>
          <w:szCs w:val="24"/>
        </w:rPr>
        <w:t>“</w:t>
      </w:r>
      <w:r w:rsidRPr="009A26B3">
        <w:rPr>
          <w:rFonts w:eastAsia="Garamond"/>
          <w:color w:val="000000"/>
          <w:sz w:val="24"/>
          <w:szCs w:val="24"/>
        </w:rPr>
        <w:t>Recent</w:t>
      </w:r>
      <w:r w:rsidRPr="000664B9">
        <w:rPr>
          <w:sz w:val="24"/>
          <w:szCs w:val="24"/>
        </w:rPr>
        <w:t xml:space="preserve"> Changes To Trademark Trial And Appeal Board Rules</w:t>
      </w:r>
      <w:r>
        <w:rPr>
          <w:sz w:val="24"/>
          <w:szCs w:val="24"/>
        </w:rPr>
        <w:t xml:space="preserve">,” </w:t>
      </w:r>
      <w:r w:rsidRPr="000664B9">
        <w:rPr>
          <w:sz w:val="24"/>
          <w:szCs w:val="24"/>
        </w:rPr>
        <w:t>NYIPLA, January/February 2008</w:t>
      </w:r>
    </w:p>
    <w:p w14:paraId="2E380103" w14:textId="4D41854C" w:rsidR="000664B9" w:rsidRPr="000664B9" w:rsidRDefault="00267C7A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hyperlink r:id="rId8" w:history="1">
        <w:r w:rsidR="000664B9" w:rsidRPr="000664B9">
          <w:rPr>
            <w:rStyle w:val="Hyperlink"/>
            <w:color w:val="auto"/>
            <w:sz w:val="24"/>
            <w:szCs w:val="24"/>
            <w:u w:val="none"/>
          </w:rPr>
          <w:t>Alert</w:t>
        </w:r>
        <w:r w:rsidR="0091335A">
          <w:rPr>
            <w:rStyle w:val="Hyperlink"/>
            <w:color w:val="auto"/>
            <w:sz w:val="24"/>
            <w:szCs w:val="24"/>
            <w:u w:val="none"/>
          </w:rPr>
          <w:t xml:space="preserve"> for Law Firm’s Website</w:t>
        </w:r>
        <w:r w:rsidR="000664B9" w:rsidRPr="000664B9">
          <w:rPr>
            <w:rStyle w:val="Hyperlink"/>
            <w:color w:val="auto"/>
            <w:sz w:val="24"/>
            <w:szCs w:val="24"/>
            <w:u w:val="none"/>
          </w:rPr>
          <w:t>: “California Court Differs from NY - Applies Server Test to Rule That Embedding Posts Does Not Constitute Copyright Infringement</w:t>
        </w:r>
      </w:hyperlink>
      <w:r w:rsidR="000664B9" w:rsidRPr="000664B9">
        <w:rPr>
          <w:sz w:val="24"/>
          <w:szCs w:val="24"/>
        </w:rPr>
        <w:t>” (September 28, 2021)</w:t>
      </w:r>
    </w:p>
    <w:p w14:paraId="7652BBED" w14:textId="4C7A7C05" w:rsidR="00A3705D" w:rsidRDefault="00267C7A" w:rsidP="009A26B3">
      <w:pPr>
        <w:pBdr>
          <w:bottom w:val="single" w:sz="12" w:space="1" w:color="auto"/>
        </w:pBdr>
        <w:spacing w:before="80" w:after="80"/>
        <w:textAlignment w:val="baseline"/>
        <w:rPr>
          <w:sz w:val="24"/>
          <w:szCs w:val="24"/>
        </w:rPr>
      </w:pPr>
      <w:hyperlink r:id="rId9" w:history="1">
        <w:r w:rsidR="0091335A" w:rsidRPr="0091335A">
          <w:rPr>
            <w:rStyle w:val="Hyperlink"/>
            <w:color w:val="auto"/>
            <w:sz w:val="24"/>
            <w:szCs w:val="24"/>
            <w:u w:val="none"/>
          </w:rPr>
          <w:t>Alert for Law Firm’s Website</w:t>
        </w:r>
        <w:r w:rsidR="000664B9" w:rsidRPr="000664B9">
          <w:rPr>
            <w:rStyle w:val="Hyperlink"/>
            <w:color w:val="auto"/>
            <w:sz w:val="24"/>
            <w:szCs w:val="24"/>
            <w:u w:val="none"/>
          </w:rPr>
          <w:t>: “New York Court Rules That Embedding Copyrighted Works Constitutes Copying Within the Meaning of the Copyright Act</w:t>
        </w:r>
      </w:hyperlink>
      <w:r w:rsidR="000664B9" w:rsidRPr="000664B9">
        <w:rPr>
          <w:sz w:val="24"/>
          <w:szCs w:val="24"/>
        </w:rPr>
        <w:t>” (August 5, 2021)</w:t>
      </w:r>
    </w:p>
    <w:p w14:paraId="69401148" w14:textId="77777777" w:rsidR="009A26B3" w:rsidRPr="00827681" w:rsidRDefault="009A26B3" w:rsidP="009A26B3">
      <w:pPr>
        <w:pBdr>
          <w:bottom w:val="single" w:sz="12" w:space="1" w:color="auto"/>
        </w:pBdr>
        <w:spacing w:before="80" w:after="80"/>
        <w:textAlignment w:val="baseline"/>
        <w:rPr>
          <w:sz w:val="12"/>
          <w:szCs w:val="12"/>
        </w:rPr>
      </w:pPr>
    </w:p>
    <w:sectPr w:rsidR="009A26B3" w:rsidRPr="00827681" w:rsidSect="009A26B3">
      <w:footerReference w:type="default" r:id="rId10"/>
      <w:pgSz w:w="12240" w:h="15840"/>
      <w:pgMar w:top="576" w:right="965" w:bottom="576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ED85" w14:textId="77777777" w:rsidR="000D4F86" w:rsidRDefault="000D4F86" w:rsidP="007C7AC5">
      <w:r>
        <w:separator/>
      </w:r>
    </w:p>
  </w:endnote>
  <w:endnote w:type="continuationSeparator" w:id="0">
    <w:p w14:paraId="5E7545A5" w14:textId="77777777" w:rsidR="000D4F86" w:rsidRDefault="000D4F86" w:rsidP="007C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74AF" w14:textId="77777777" w:rsidR="009A26B3" w:rsidRDefault="009A26B3" w:rsidP="009A26B3">
    <w:pPr>
      <w:pStyle w:val="Footer"/>
      <w:tabs>
        <w:tab w:val="clear" w:pos="4680"/>
        <w:tab w:val="center" w:pos="5040"/>
      </w:tabs>
    </w:pPr>
  </w:p>
  <w:p w14:paraId="41164FC9" w14:textId="6549E69B" w:rsidR="009A26B3" w:rsidRPr="009A26B3" w:rsidRDefault="009A26B3" w:rsidP="009A26B3">
    <w:pPr>
      <w:pStyle w:val="Footer"/>
      <w:tabs>
        <w:tab w:val="clear" w:pos="4680"/>
        <w:tab w:val="center" w:pos="5040"/>
      </w:tabs>
    </w:pPr>
    <w:r>
      <w:tab/>
    </w:r>
    <w:r w:rsidRPr="009A26B3">
      <w:t xml:space="preserve">[Page </w:t>
    </w:r>
    <w:r w:rsidRPr="009A26B3">
      <w:fldChar w:fldCharType="begin"/>
    </w:r>
    <w:r w:rsidRPr="009A26B3">
      <w:instrText xml:space="preserve"> PAGE  \* Arabic  \* MERGEFORMAT </w:instrText>
    </w:r>
    <w:r w:rsidRPr="009A26B3">
      <w:fldChar w:fldCharType="separate"/>
    </w:r>
    <w:r w:rsidRPr="009A26B3">
      <w:rPr>
        <w:noProof/>
      </w:rPr>
      <w:t>1</w:t>
    </w:r>
    <w:r w:rsidRPr="009A26B3">
      <w:fldChar w:fldCharType="end"/>
    </w:r>
    <w:r w:rsidRPr="009A26B3">
      <w:t xml:space="preserve"> of </w:t>
    </w:r>
    <w:r w:rsidR="00267C7A">
      <w:fldChar w:fldCharType="begin"/>
    </w:r>
    <w:r w:rsidR="00267C7A">
      <w:instrText xml:space="preserve"> NUMPAGES  \* Arabic  \* MERGEFORMAT </w:instrText>
    </w:r>
    <w:r w:rsidR="00267C7A">
      <w:fldChar w:fldCharType="separate"/>
    </w:r>
    <w:r w:rsidRPr="009A26B3">
      <w:rPr>
        <w:noProof/>
      </w:rPr>
      <w:t>2</w:t>
    </w:r>
    <w:r w:rsidR="00267C7A">
      <w:rPr>
        <w:noProof/>
      </w:rPr>
      <w:fldChar w:fldCharType="end"/>
    </w:r>
    <w:r w:rsidRPr="009A26B3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D190" w14:textId="77777777" w:rsidR="000D4F86" w:rsidRDefault="000D4F86" w:rsidP="007C7AC5">
      <w:r>
        <w:separator/>
      </w:r>
    </w:p>
  </w:footnote>
  <w:footnote w:type="continuationSeparator" w:id="0">
    <w:p w14:paraId="38F10049" w14:textId="77777777" w:rsidR="000D4F86" w:rsidRDefault="000D4F86" w:rsidP="007C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BA0"/>
    <w:multiLevelType w:val="hybridMultilevel"/>
    <w:tmpl w:val="0D4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6AF"/>
    <w:multiLevelType w:val="multilevel"/>
    <w:tmpl w:val="5D3E8F4C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1489D"/>
    <w:multiLevelType w:val="hybridMultilevel"/>
    <w:tmpl w:val="06F0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6D11"/>
    <w:multiLevelType w:val="hybridMultilevel"/>
    <w:tmpl w:val="EBB4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3852"/>
    <w:multiLevelType w:val="multilevel"/>
    <w:tmpl w:val="B1AA4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D341C6"/>
    <w:multiLevelType w:val="hybridMultilevel"/>
    <w:tmpl w:val="FFB0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3814"/>
    <w:multiLevelType w:val="hybridMultilevel"/>
    <w:tmpl w:val="3836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F4815"/>
    <w:multiLevelType w:val="hybridMultilevel"/>
    <w:tmpl w:val="004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47CA1"/>
    <w:multiLevelType w:val="multilevel"/>
    <w:tmpl w:val="0096B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F014E56"/>
    <w:multiLevelType w:val="multilevel"/>
    <w:tmpl w:val="E99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35037"/>
    <w:multiLevelType w:val="multilevel"/>
    <w:tmpl w:val="0CE4C43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3624461">
    <w:abstractNumId w:val="10"/>
  </w:num>
  <w:num w:numId="2" w16cid:durableId="286199240">
    <w:abstractNumId w:val="1"/>
  </w:num>
  <w:num w:numId="3" w16cid:durableId="196365663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26242143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5414948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18266969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615791817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5022149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446386297">
    <w:abstractNumId w:val="7"/>
  </w:num>
  <w:num w:numId="10" w16cid:durableId="287440993">
    <w:abstractNumId w:val="9"/>
  </w:num>
  <w:num w:numId="11" w16cid:durableId="1296763201">
    <w:abstractNumId w:val="3"/>
  </w:num>
  <w:num w:numId="12" w16cid:durableId="1641182799">
    <w:abstractNumId w:val="0"/>
  </w:num>
  <w:num w:numId="13" w16cid:durableId="1136797422">
    <w:abstractNumId w:val="6"/>
  </w:num>
  <w:num w:numId="14" w16cid:durableId="1572302361">
    <w:abstractNumId w:val="2"/>
  </w:num>
  <w:num w:numId="15" w16cid:durableId="869531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2"/>
    <w:docVar w:name="SWDocIDLocation" w:val="1"/>
  </w:docVars>
  <w:rsids>
    <w:rsidRoot w:val="00A3705D"/>
    <w:rsid w:val="0000326A"/>
    <w:rsid w:val="0000779A"/>
    <w:rsid w:val="00031AF8"/>
    <w:rsid w:val="00043689"/>
    <w:rsid w:val="00053965"/>
    <w:rsid w:val="000664B9"/>
    <w:rsid w:val="00081EEF"/>
    <w:rsid w:val="000A0B46"/>
    <w:rsid w:val="000B19FA"/>
    <w:rsid w:val="000B444B"/>
    <w:rsid w:val="000D4F86"/>
    <w:rsid w:val="000F7D9F"/>
    <w:rsid w:val="00162A13"/>
    <w:rsid w:val="001A734A"/>
    <w:rsid w:val="00237510"/>
    <w:rsid w:val="00265434"/>
    <w:rsid w:val="00267C7A"/>
    <w:rsid w:val="00290FA8"/>
    <w:rsid w:val="002947B1"/>
    <w:rsid w:val="0029650C"/>
    <w:rsid w:val="002C5B34"/>
    <w:rsid w:val="002D3539"/>
    <w:rsid w:val="003069F3"/>
    <w:rsid w:val="003238F9"/>
    <w:rsid w:val="00323D1F"/>
    <w:rsid w:val="0037792D"/>
    <w:rsid w:val="00382D03"/>
    <w:rsid w:val="003960F8"/>
    <w:rsid w:val="00416395"/>
    <w:rsid w:val="004557C8"/>
    <w:rsid w:val="004859B3"/>
    <w:rsid w:val="004D2244"/>
    <w:rsid w:val="00514427"/>
    <w:rsid w:val="005321B5"/>
    <w:rsid w:val="00550F7B"/>
    <w:rsid w:val="00556F36"/>
    <w:rsid w:val="00563CCC"/>
    <w:rsid w:val="00573B4D"/>
    <w:rsid w:val="0059511B"/>
    <w:rsid w:val="005A633A"/>
    <w:rsid w:val="005B2856"/>
    <w:rsid w:val="005D5194"/>
    <w:rsid w:val="0061746B"/>
    <w:rsid w:val="006201C9"/>
    <w:rsid w:val="00620829"/>
    <w:rsid w:val="00621152"/>
    <w:rsid w:val="0065309B"/>
    <w:rsid w:val="00654D9C"/>
    <w:rsid w:val="006651B5"/>
    <w:rsid w:val="00683E7B"/>
    <w:rsid w:val="00684CCD"/>
    <w:rsid w:val="006E1D6A"/>
    <w:rsid w:val="006E70B3"/>
    <w:rsid w:val="007253B4"/>
    <w:rsid w:val="00771C2D"/>
    <w:rsid w:val="007C7AC5"/>
    <w:rsid w:val="007D0ADF"/>
    <w:rsid w:val="007D4FBE"/>
    <w:rsid w:val="007E6A65"/>
    <w:rsid w:val="007F332F"/>
    <w:rsid w:val="00827681"/>
    <w:rsid w:val="0086418D"/>
    <w:rsid w:val="008679BA"/>
    <w:rsid w:val="00877F08"/>
    <w:rsid w:val="008923BD"/>
    <w:rsid w:val="00896ED3"/>
    <w:rsid w:val="008D30B3"/>
    <w:rsid w:val="008E214F"/>
    <w:rsid w:val="00912BCC"/>
    <w:rsid w:val="0091335A"/>
    <w:rsid w:val="0094408C"/>
    <w:rsid w:val="009A26B3"/>
    <w:rsid w:val="009B3EE2"/>
    <w:rsid w:val="009E3CC4"/>
    <w:rsid w:val="00A33D61"/>
    <w:rsid w:val="00A3705D"/>
    <w:rsid w:val="00A43B64"/>
    <w:rsid w:val="00A646AE"/>
    <w:rsid w:val="00A92421"/>
    <w:rsid w:val="00AB7818"/>
    <w:rsid w:val="00AC489D"/>
    <w:rsid w:val="00AF0B00"/>
    <w:rsid w:val="00B25677"/>
    <w:rsid w:val="00B932F2"/>
    <w:rsid w:val="00B97B4E"/>
    <w:rsid w:val="00BA38E4"/>
    <w:rsid w:val="00BB4D9E"/>
    <w:rsid w:val="00BD242C"/>
    <w:rsid w:val="00C04E8F"/>
    <w:rsid w:val="00C171C6"/>
    <w:rsid w:val="00C33257"/>
    <w:rsid w:val="00C4020E"/>
    <w:rsid w:val="00C64479"/>
    <w:rsid w:val="00C6779D"/>
    <w:rsid w:val="00C91F72"/>
    <w:rsid w:val="00CB0ABE"/>
    <w:rsid w:val="00CE4B53"/>
    <w:rsid w:val="00CE519C"/>
    <w:rsid w:val="00D83631"/>
    <w:rsid w:val="00D91990"/>
    <w:rsid w:val="00DB00B0"/>
    <w:rsid w:val="00DC3CC4"/>
    <w:rsid w:val="00DF7EB9"/>
    <w:rsid w:val="00E04FED"/>
    <w:rsid w:val="00E23E4E"/>
    <w:rsid w:val="00E36B93"/>
    <w:rsid w:val="00E669CA"/>
    <w:rsid w:val="00E73F15"/>
    <w:rsid w:val="00E82C10"/>
    <w:rsid w:val="00E96A5D"/>
    <w:rsid w:val="00EB1699"/>
    <w:rsid w:val="00EB6315"/>
    <w:rsid w:val="00EF033D"/>
    <w:rsid w:val="00F0313E"/>
    <w:rsid w:val="00F04064"/>
    <w:rsid w:val="00F10E40"/>
    <w:rsid w:val="00F77EDE"/>
    <w:rsid w:val="00FC6916"/>
    <w:rsid w:val="00FE6F81"/>
    <w:rsid w:val="02AEB096"/>
    <w:rsid w:val="21A5983A"/>
    <w:rsid w:val="2ABBA6DB"/>
    <w:rsid w:val="6C2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7D505"/>
  <w15:docId w15:val="{E8E5D454-F946-43FF-80CD-DDBE952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AC5"/>
  </w:style>
  <w:style w:type="paragraph" w:styleId="Footer">
    <w:name w:val="footer"/>
    <w:basedOn w:val="Normal"/>
    <w:link w:val="FooterChar"/>
    <w:uiPriority w:val="99"/>
    <w:unhideWhenUsed/>
    <w:rsid w:val="007C7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AC5"/>
  </w:style>
  <w:style w:type="paragraph" w:styleId="ListParagraph">
    <w:name w:val="List Paragraph"/>
    <w:basedOn w:val="Normal"/>
    <w:uiPriority w:val="34"/>
    <w:qFormat/>
    <w:rsid w:val="00F031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3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0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631"/>
  </w:style>
  <w:style w:type="character" w:styleId="Hyperlink">
    <w:name w:val="Hyperlink"/>
    <w:basedOn w:val="DefaultParagraphFont"/>
    <w:uiPriority w:val="99"/>
    <w:unhideWhenUsed/>
    <w:rsid w:val="00E7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law.com/publications/view/alert0928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relaw.com/publications/view/-copyright-alert-new-york-ccourt-rules-that-embedding-copyrigh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F84A-413F-494F-8FD6-0D93CF7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and Wanda Walker</dc:creator>
  <cp:lastModifiedBy>ARE</cp:lastModifiedBy>
  <cp:revision>4</cp:revision>
  <cp:lastPrinted>2025-02-12T15:21:00Z</cp:lastPrinted>
  <dcterms:created xsi:type="dcterms:W3CDTF">2025-05-21T18:32:00Z</dcterms:created>
  <dcterms:modified xsi:type="dcterms:W3CDTF">2025-05-22T14:20:00Z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4921-1908-0495v.1</vt:lpwstr>
  </property>
</Properties>
</file>